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Azartspēļu un izložu politikas pamatnostādņu 2021.–2027. gadam darba plāna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15.05.2024. 11.22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15.05.2024. 11.22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