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812 "Oficiālās statistikas veidlapu paraugu apstiprināšanas un veidlapu aizpildīšanas un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5.4.apakšpunkta 1.tabulā attiecībā uz Komisijas 2019. gada 1. augusta Deleģētās regulas (ES) Nr. 2019/1681 ar ko attiecībā uz nosūtīšanas termiņiem un I un II pielikuma pielāgošanu groza Eiropas Parlamenta un Padomes Regulu (ES) Nr. 692/2011 attiecībā uz Eiropas statistiku par tūrismu (turpmāk - Regula 2019/1681) 1.pantu norādīts, ka projekts paredzētas stingrākas prasības, proti, “daži rādītāji saskaņā ar regulu ir jānosūta reizi trijos gados, mēs datu lietotāju vajadzībām tos vācam katru gadu”. Ņemot vērā, ka atbilstoši datu apstrādes principiem personas dati tiek apstrādāti likumīgi, godprātīgi, datu subjektam pārredzamā veidā, tiek vākti konkrētos, skaidros un leģitīmos nolūkos, lūdzam papildināt anotāciju ar izvērstāku skaidrojumu par nepieciešamību paredzēt stingrākas prasības, detalizētāk paskaidrojot ar ko saprotamas “datu lietotāju vajadzības”, tādējādi norādot datu apstrādes mērķus, kā sasniegšanai nepieciešams rādītājus nosūtīt biežāk, nekā to paredz minētā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gadījumos, kad projekts paredz stingrākas prasības ir jāsniedz attiecīgu skaidrojumu par šādu prasību nepieciešamību un samērīgumu, kā arī jānorāda iespējamās alternatīvas (t. sk. alternatīvas, kas neparedz tiesiskā regulējuma izstrādi), kādos gadījumos būtu iespējams izvairīties no stingrāku prasību noteikšanas, nekā paredzēts attiecīgajos Eiropas Savienības tiesību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risinājuma aprakstā pilnīgāk skaidrot noteikumos un tā pielikumos (veidlapās) veiktās izmaiņas. Piemēram, risinājuma apraksta 33. punkts definēts ļoti vispārīgi, neradot izpratni par attiecīgā grozījuma mērķi vai saturu. Risinājuma apraksta 1. punktā skaidrotas izmaiņas attiecīgajā veidlapā, taču tās tiek skaidrotas daļēji (piemēram, nav minēts, ka izmaiņas veidlapā skar ne tikai sadaļas par aļģu audzēšanu.), risinājuma aprakstā grozījumiem noteikumu 7. pielikumā norādīti precizējumi sakarā ar NACE 2.1. red. ieviešanu, savukārt veiktie grozījumi, šķietami ir tehniska rakstura un tieši neizriet no Komisijas 2022. gada 10. oktobra deleģētā Regula (ES) Nr. 2023/137 ar kuru groza Eiropas Parlamenta un Padomes Regulu (EK) Nr. 1893/2006, ar ko izveido NACE 2. red. saimniecisko darbību statistisko klasifikāciju, kā tas skaidrots anotācijā. Arī attiecībā uz projekta 13. pielikumu tiek norādīts, ka Eirozonas valstu uzskaitījums tiek papildināts, taču tas tiek izņemts, iekļaujot vispārīgu norādi uz to, ka "Eiro zonas valstu uzskaitījums (aizpilda Centrālā statistikas pārvalde", tāpat tiek aktualizēta hipersaite uz PRODCOM klasifikāciju Centrālās statistikas pārvaldes tīmekļa vietnē.", bet risinājuma apraksta 10. punktā nav skaidrota norādījumu veidlapas aizpildīšanai svītrošana. Vienlaicīgi norādām, ka anotācijas 1.3. apakšpunktā nav skaidrots projekta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pilnīgāk skaidrot un pamatot veiktās izmaiņas, tostarp arī nodrošinot, lai būtu sniegts skaidrojums par to, vai veidlapās veiktās izmaiņas atbilst attiecīgo Eiropas Savienības tiesību aktu prasībām. Piemēram, attiecībā uz risinājuma apraksta 7. punktu. Īpašu uzmanību lūdzam pievērst skaidrojumiem jaunajām veidlapām, izvērstāk skaidrojot iegūstamos datus, datu iegūšanas mērķi, tiesisko pamatu u.c. nianses, kas nodrošinātu pilnīgāku izpratni par ieviestajām veidlapām.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anotācijas 5.daļu,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atbilstoši projektam</w:t>
            </w:r>
            <w:r w:rsidR="00000000" w:rsidRPr="00000000" w:rsidDel="00000000">
              <w:rPr>
                <w:b w:val="1"/>
                <w:rtl w:val="0"/>
              </w:rPr>
              <w:t xml:space="preserve"> ar 3. un 28. punktu ir ieviestas</w:t>
            </w:r>
            <w:r w:rsidR="00000000" w:rsidRPr="00000000" w:rsidDel="00000000">
              <w:rPr>
                <w:rtl w:val="0"/>
              </w:rPr>
              <w:t xml:space="preserve"> Eiropas Parlamenta un Padomes 2008. gada 22. oktobra </w:t>
            </w:r>
            <w:r w:rsidR="00000000" w:rsidRPr="00000000" w:rsidDel="00000000">
              <w:rPr>
                <w:b w:val="1"/>
                <w:rtl w:val="0"/>
              </w:rPr>
              <w:t xml:space="preserve">Regulas Nr. 1099/2008</w:t>
            </w:r>
            <w:r w:rsidR="00000000" w:rsidRPr="00000000" w:rsidDel="00000000">
              <w:rPr>
                <w:rtl w:val="0"/>
              </w:rPr>
              <w:t xml:space="preserve"> par enerģētikas statistiku </w:t>
            </w:r>
            <w:r w:rsidR="00000000" w:rsidRPr="00000000" w:rsidDel="00000000">
              <w:rPr>
                <w:b w:val="1"/>
                <w:rtl w:val="0"/>
              </w:rPr>
              <w:t xml:space="preserve">prasības, ar 4. un 32. punktu ir ieviestas</w:t>
            </w:r>
            <w:r w:rsidR="00000000" w:rsidRPr="00000000" w:rsidDel="00000000">
              <w:rPr>
                <w:rtl w:val="0"/>
              </w:rPr>
              <w:t xml:space="preserve"> Eiropas Parlamenta un Padomes 2013. gada 21. maija </w:t>
            </w:r>
            <w:r w:rsidR="00000000" w:rsidRPr="00000000" w:rsidDel="00000000">
              <w:rPr>
                <w:b w:val="1"/>
                <w:rtl w:val="0"/>
              </w:rPr>
              <w:t xml:space="preserve">Regulas (ES) Nr. 549/2013</w:t>
            </w:r>
            <w:r w:rsidR="00000000" w:rsidRPr="00000000" w:rsidDel="00000000">
              <w:rPr>
                <w:rtl w:val="0"/>
              </w:rPr>
              <w:t xml:space="preserve"> par Eiropas nacionālo un reģionālo kontu sistēmu Eiropas Savienībā </w:t>
            </w:r>
            <w:r w:rsidR="00000000" w:rsidRPr="00000000" w:rsidDel="00000000">
              <w:rPr>
                <w:b w:val="1"/>
                <w:rtl w:val="0"/>
              </w:rPr>
              <w:t xml:space="preserve">prasības, ar 5. un 37. punktu ir ieviestas </w:t>
            </w:r>
            <w:r w:rsidR="00000000" w:rsidRPr="00000000" w:rsidDel="00000000">
              <w:rPr>
                <w:rtl w:val="0"/>
              </w:rPr>
              <w:t xml:space="preserve">Eiropas Parlamenta un Padomes 2011. gada 6. jūlija </w:t>
            </w:r>
            <w:r w:rsidR="00000000" w:rsidRPr="00000000" w:rsidDel="00000000">
              <w:rPr>
                <w:b w:val="1"/>
                <w:rtl w:val="0"/>
              </w:rPr>
              <w:t xml:space="preserve">Regulas (ES) Nr. 692/2011</w:t>
            </w:r>
            <w:r w:rsidR="00000000" w:rsidRPr="00000000" w:rsidDel="00000000">
              <w:rPr>
                <w:rtl w:val="0"/>
              </w:rPr>
              <w:t xml:space="preserve"> attiecībā uz Eiropas statistiku par tūrismu un ar ko atceļ Padomes Direktīvu 95/57/EK </w:t>
            </w:r>
            <w:r w:rsidR="00000000" w:rsidRPr="00000000" w:rsidDel="00000000">
              <w:rPr>
                <w:b w:val="1"/>
                <w:rtl w:val="0"/>
              </w:rPr>
              <w:t xml:space="preserve">prasības, ar 2., 7., 24., 41. punktu</w:t>
            </w:r>
            <w:r w:rsidR="00000000" w:rsidRPr="00000000" w:rsidDel="00000000">
              <w:rPr>
                <w:rtl w:val="0"/>
              </w:rPr>
              <w:t xml:space="preserve"> Eiropas Parlamenta un Padomes 2019. gada 27. novembra </w:t>
            </w:r>
            <w:r w:rsidR="00000000" w:rsidRPr="00000000" w:rsidDel="00000000">
              <w:rPr>
                <w:b w:val="1"/>
                <w:rtl w:val="0"/>
              </w:rPr>
              <w:t xml:space="preserve">Regula(ES) Nr. 2019/2152</w:t>
            </w:r>
            <w:r w:rsidR="00000000" w:rsidRPr="00000000" w:rsidDel="00000000">
              <w:rPr>
                <w:rtl w:val="0"/>
              </w:rPr>
              <w:t xml:space="preserve"> par Eiropas uzņēmējdarbības statistiku, ar ko atceļ 10 tiesību aktus uzņēmējdarbības statistikas jomā </w:t>
            </w:r>
            <w:r w:rsidR="00000000" w:rsidRPr="00000000" w:rsidDel="00000000">
              <w:rPr>
                <w:b w:val="1"/>
                <w:rtl w:val="0"/>
              </w:rPr>
              <w:t xml:space="preserve">prasības, bet ar 6. punktu</w:t>
            </w:r>
            <w:r w:rsidR="00000000" w:rsidRPr="00000000" w:rsidDel="00000000">
              <w:rPr>
                <w:rtl w:val="0"/>
              </w:rPr>
              <w:t xml:space="preserve"> Eiropas Parlamenta un Padomes 2019. gada 10. oktobra </w:t>
            </w:r>
            <w:r w:rsidR="00000000" w:rsidRPr="00000000" w:rsidDel="00000000">
              <w:rPr>
                <w:b w:val="1"/>
                <w:rtl w:val="0"/>
              </w:rPr>
              <w:t xml:space="preserve">Regula (ES) Nr. 2019/1700 </w:t>
            </w:r>
            <w:r w:rsidR="00000000" w:rsidRPr="00000000" w:rsidDel="00000000">
              <w:rPr>
                <w:rtl w:val="0"/>
              </w:rPr>
              <w:t xml:space="preserve">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w:t>
            </w:r>
            <w:r w:rsidR="00000000" w:rsidRPr="00000000" w:rsidDel="00000000">
              <w:rPr>
                <w:b w:val="1"/>
                <w:rtl w:val="0"/>
              </w:rPr>
              <w:t xml:space="preserve">prasības, kas nav atspoguļots 5.4. apakšpunkta 1. tabulā. </w:t>
            </w:r>
            <w:r w:rsidR="00000000" w:rsidRPr="00000000" w:rsidDel="00000000">
              <w:rPr>
                <w:rtl w:val="0"/>
              </w:rPr>
              <w:t xml:space="preserve">Tāpat daļa uzskaitīto Eiropas Savienības tiesību aktu nav norādīta anotācijas 5.1.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atbilstoši Ministru kabineta 2016. gada 20. decembra noteikumos Nr. 812 "Oficiālās statistikas veidlapu paraugu apstiprināšanas un veidlapu aizpildīšanas un iesniegšanas noteikumi" (turpmāk - noteikumi Nr.812) iepriekš veiktajiem grozījumiem, ar projektā grozījumiem pakļautajiem punktiem ir ieviests arī, piemēram,  Eiropas Parlamenta un Padomes 2019. gada 27. novembra Regulas (ES) 2019/2152 par Eiropas uzņēmējdarbības statistiku, ar ko atceļ 10 tiesību aktus uzņēmējdarbības statistikas jomā 6. panta 2.punkta c) apakšpunkts, I pielikuma 2.joma (tēma - IKT izmantojums un e-komercija) un II pielikuma 2 joma (tēma - IKT izmantojums un e-komercija) (noteikumu Nr. 812 2.16 punkts). 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vai nepārņemtas.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šķietami 5.4. apakšpunkta 1. tabulā norādītas neatbilstošas projekta vienības, piemēram, projekta 3. pielikums ir 21. punkts, 29. pielikums ir 51. punkts utt.. Attiecīgi lūdzam pārbaudīt anotācijas 5.4. apakšpunkta 1.tabulu un veikt tajā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anotācijas 5.4. apakšpunkta 1. tabulas Regulas 2019/1681 sadaļā, skaidrojot rīcības brīvības izmantošanu, lūdzam norādīt konkrētu Eiropas Savienības tiesību akta normu un pamatojumu, kādēļ ir vai nav izmantota tajā paredzētā rīcības brīvība dalībvalstij. Pašreizējā redakcija ir vispārināta un nerada pilnīgu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datu apstrādes likuma 4.panta pirmās daļas 5.punktā noteikto, aicinām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10. risinājuma aprakstā, nolūkā uzlabot uztveramību, iesakām skaidri un nepārprotami norādīt, ka ar atsauci uz A pielikumu ir saprotamas atsauces uz Komisijas 2022. gada 28. janvāra Regulas (ES) Nr. 2022/132 ar ko attiecībā uz ikgadējās, ikmēneša un ikmēneša īstermiņa enerģētikas statistikas atjauninājumu īstenošanu groza Eiropas Parlamenta un Padomes Regulu (EK) Nr. 1099/2008 par enerģētikas statistiku A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risinājuma aprakstā iesakām norādīt, ka Eiropas Parlamenta un Padomes 2008. gada 11. marta Regula Nr. 295/2008 par uzņēmējdarbības strukturālo statistiku ir zaudējusi spēku, jo no pašreizējā formulējuma tas nav nepārprotami saprotams. Tāpat lūdzam norādīt konkrētu pamatojumu projekta 14. pielikuma veidlapas atjaunošanai un nepieciešamību turpmākai šo datu vākšanai, pamatojoties uz to, ka Eiropas Savienības tiesību akts uz kura pamata tika ievākta informācija ir zaudējis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risinājuma apraksta punktos, piemēram, 20. punktā minētas Eurostat prasības un regulējumi. Aicinām pēc iespējas minēt konkrētus dokumentus, no kuriem izriet minētās prasības, kā arī konkretizēt prasības, kādas veidlapās ieviestas.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salīdzināt projektā un anotācijā sniegto informāciju, veicot nepieciešamos precizējumus, ņemot vērā, ka, atbilstoši anotācijas skaidrojumam, projekta 26. pielikuma veidlapa nodrošina datu vākšanu, kas izriet no "Komisijas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 bet, atbilstoši projekta 13. punktam, tas nodrošina "Eiropas Parlamenta un Padomes Regulas Nr. 2019/2152 </w:t>
            </w:r>
            <w:r w:rsidR="00000000" w:rsidRPr="00000000" w:rsidDel="00000000">
              <w:rPr>
                <w:u w:val="single"/>
                <w:rtl w:val="0"/>
              </w:rPr>
              <w:t xml:space="preserve">un</w:t>
            </w:r>
            <w:r w:rsidR="00000000" w:rsidRPr="00000000" w:rsidDel="00000000">
              <w:rPr>
                <w:rtl w:val="0"/>
              </w:rPr>
              <w:t xml:space="preserve"> Komisijas Īstenošanas Regulas Nr. 2023/1507 prasību piemērošanu". Respektīvi, skaidrojumā minēts tikai viens no projekta 13. punktā norādītajiem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"NACE", "IKT", "VIIS", apzīmējumu "CAWI mobile", "Eurostat"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 pielikumā lietot vienotu terminoloģiju, jo paralēli tiek lietots formulējums "aļģes" un "aļģes un ūdens augi". Vienlaicīgi iesakām pārskatīt 1. pielikuma sadaļu numerāciju, kur 3. punktam seko 4.1. apakšpunkts (neparedzot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w:t>
            </w:r>
            <w:r w:rsidR="00000000" w:rsidRPr="00000000" w:rsidDel="00000000">
              <w:rPr>
                <w:rtl w:val="0"/>
              </w:rPr>
              <w:t xml:space="preserve">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w:t>
            </w:r>
            <w:r w:rsidR="00000000" w:rsidRPr="00000000" w:rsidDel="00000000">
              <w:rPr>
                <w:rtl w:val="0"/>
              </w:rPr>
              <w:t xml:space="preserve"> (turpmāk - Regula 2020/1197).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lūdzam ņemt vērā arī attiecībā uz noteikumu 2.96.punktu un 2.114.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mājas lapa tiek aizstāts vairākās veidlapās, bet tiek norādīts tikai pie risinājuma apraksta 13. un 15. punkta. Tāpat, vēršam uzmanību, ka, piemēram, risinājuma apraksta 13. punktā to nav nepieciešams norādīt, jo attiecīgajā pielikumā, jau bija ieviests termins "tīmekļa vietne".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nepieciešamību veidlapās norādīt konkrētus datumus vai gadus, piemēram, "INTERNETA LIETOŠANA 2024. GADĀ". Vēršam uzmanību, ka no konkrētu datumu un gadu paredzēšanas automātiski izriet, ka veidlapu pēc konkrētā datuma, gada būs nepieciešams atkārtoti aktualizēt, kas nav lietderīgi. Gadījumā, ja tas ir nepieciešams lūdzam risinājuma aprakstā skaidrot šādas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apakšpunkta pašreizējās situācijas aprakstu, ņemot vērā, ka šajā sadaļā apraksta šī brīža situāciju, bet pašlaik tajā ir vienkārši ietverta atsauce uz noteikumiem Nr. 812, kas nesniedz nekādu ieskatu, skaidrojumu attiecīgā jautājuma pašreizējā situācijā. Līdzīgi iesakām papildināt arī problēmas apraksta daļu, jo tās redakcija, šķietami pilnībā neatspoguļo problēmjautājumus, kuru risinājums tiek skaidrots anotācijas 1.3. apakšpunkta risinājuma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sabiedrības grupas, kuras tiesiskais regulējums ietekmē vai varētu ietekmēt, jo atsevišķas personu grupas uzskaitītas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23-TA-1682</w:t>
    </w:r>
    <w:r>
      <w:br/>
    </w:r>
    <w:r w:rsidR="00000000" w:rsidRPr="00000000" w:rsidDel="00000000">
      <w:rPr>
        <w:rtl w:val="0"/>
      </w:rPr>
      <w:t xml:space="preserve">Izdrukāts 31.08.2023.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23-TA-1682</w:t>
    </w:r>
    <w:r>
      <w:br/>
    </w:r>
    <w:r w:rsidR="00000000" w:rsidRPr="00000000" w:rsidDel="00000000">
      <w:rPr>
        <w:rtl w:val="0"/>
      </w:rPr>
      <w:t xml:space="preserve">Izdrukāts 31.08.2023.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Atzinumi_23-TA-1682.docx</dc:title>
</cp:coreProperties>
</file>

<file path=docProps/custom.xml><?xml version="1.0" encoding="utf-8"?>
<Properties xmlns="http://schemas.openxmlformats.org/officeDocument/2006/custom-properties" xmlns:vt="http://schemas.openxmlformats.org/officeDocument/2006/docPropsVTypes"/>
</file>