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Noteikumi stājas spēkā brīdī, kad pārstrādātais e-pakalpojums “Elektroniska reģistrēšanās Konsulārajā reģistrā” tiek nodots produkcijā, par ko Ārlietu ministrija paziņos oficiālajam izdevumam “Latvijas Vēstnesis”.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noteikumu projekta 11.punktā precizēt frāzi "tiek nodots produkcijā", jo no noteikumu projekta, tā anotācijas vai no e-pakalpojumu darbību regulējošiem normatīvajiem aktiem nav viennozīmīgi skaidrs šī jēdziena tvērums. Aicinām skaidrāk definēt spēkā stāšanās nosacījuma iestāšanās brīdi, piemēram, "pieejams lietošanā" vai tamlīdzīgi.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Andra Reinfelde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10.10.2023. 13.29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10.10.2023. 13.29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