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5.4. sadaļas 1. tabulu ar skaidrojumu par konkrētu Eiropas Komisijas 2023. gada 13. decembra Regulas Nr. 2023/2831 par Līguma par Eiropas Savienības darbību 107. un 108. panta piemērošanu de minimis atbalstam (turpmāk - regula Nr. 2023/2831)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3. punktā svītrot norādi uz Atveseļošanās noturības mehānisma plānu, jo minētais plāns ir apstiprināts ar rīkojumu un līdz ar to atbilstoši indivīda pamattiesībām zināt savas tiesības noteikumu projektā nav pieļaujams noteikt privātpersonai ierobežojumu, kura apmērs nav noteikts ārējā normatīvajā aktā. Vienlaikus vēršam uzmanību, ka norāde uz Atveseļošanās noturības mehānisma plāna finansējumu kopumā ir pārāk plaša un vispārīga, iespējams, domāta varētu būt attiecīgā projekta kopējais Atveseļošanās noturības mehānisma plāna finansējums, tādēļ nepieciešams konkrētāk norādīt, par kādu finansējumu noteikumu projekta 3. punktā ir runa. Konkretizējot finansējumu, nepieciešams ņemt vērā arī grozīto Ministru kabineta noteikumu 54. punktu, kas noteic, ka izmaksas, kas nav saistītas ar apmācību un ar tām saistītā personāla izmaksām, nepārsniedz 20 % no kopējām projekta iesniegumā apstiprinātajām izmaksām (proti, 54. punkts varētu būt pretrunā ar 53. punktu noteikumu 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projekta kopējām izmaksām" vai "53. Projekta vadības izmaksas, tai skaitā darba devēja valsts sociālās apdrošināšanas obligātās iemaksas, nepārsniedz 20 % no projektam piešķirtā Atveseļošanās noturības mehānisma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 </w:t>
            </w:r>
            <w:r w:rsidR="00000000" w:rsidRPr="00000000" w:rsidDel="00000000">
              <w:rPr>
                <w:rtl w:val="0"/>
              </w:rPr>
              <w:t xml:space="preserve">​</w:t>
            </w:r>
            <w:r w:rsidR="00000000" w:rsidRPr="00000000" w:rsidDel="00000000">
              <w:rPr>
                <w:rtl w:val="0"/>
              </w:rPr>
              <w:t xml:space="preserve">2023/2831 1. panta 1. un 2. punktā noteiktajās neatbalstāmajās nozarēs un darbībās un pretendē uz komercdarbības atbalstu saskaņā ar Komisijas regulu Nr. </w:t>
            </w:r>
            <w:r w:rsidR="00000000" w:rsidRPr="00000000" w:rsidDel="00000000">
              <w:rPr>
                <w:rtl w:val="0"/>
              </w:rPr>
              <w:t xml:space="preserve">​</w:t>
            </w:r>
            <w:r w:rsidR="00000000" w:rsidRPr="00000000" w:rsidDel="00000000">
              <w:rPr>
                <w:rtl w:val="0"/>
              </w:rPr>
              <w:t xml:space="preserve">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1. panta 2. punktā nav minētas atsevišķas neatbalstāmās nozares un darbības, tādēļ lūdzam svītrot noteikumu projekta 7. punktā ietverto atsauci uz 1. panta 2.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viena vienota uzņēmuma līmenī nedrīkst pārsniegt Komisijas regulas Nr. </w:t>
            </w:r>
            <w:r w:rsidR="00000000" w:rsidRPr="00000000" w:rsidDel="00000000">
              <w:rPr>
                <w:rtl w:val="0"/>
              </w:rPr>
              <w:t xml:space="preserve">​</w:t>
            </w:r>
            <w:r w:rsidR="00000000" w:rsidRPr="00000000" w:rsidDel="00000000">
              <w:rPr>
                <w:rtl w:val="0"/>
              </w:rPr>
              <w:t xml:space="preserve">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 punktu, līdzīgi, kā citos normatīvajos aktos, kur tiek ieviestas attiecīgās regulas prasības, norādot, ka minētais atbalsts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nepārsniedz regulas 2023/2831 3. panta 2. punktā noteikto de minimis atbalsta apmēru vienam vienotam uzņēmumam.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w:t>
            </w:r>
            <w:r w:rsidR="00000000" w:rsidRPr="00000000" w:rsidDel="00000000">
              <w:rPr>
                <w:rtl w:val="0"/>
              </w:rPr>
              <w:t xml:space="preserve">​2023/2831 3. panta 2. punktā noteiktajam attiecīgajam robežlielumam, kā arī drīkst kumulēt ar citu komercdarbības atbalstu attiecībā uz vienām un tām pašām attiecināmajām izmaksām vai citu komercdarbības atbalstu tai pašai riska finansējuma investīcijai, ja netiek pārsniegta attiecīgā maksimālā atbalsta intensitāte vai atbalsta summa, kāda noteikta komercdarbības atbalsta programmā vai Eiropas Komisijas lēmumā.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iespēju robežās izvairīties no regulas prasību pārrakstīšanas.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Norādām, ka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de minimis atbalstu drīkst kumulēt ar citu de minimis atbalstu līdz Komisijas regulas Nr. ​​2023/2831 3. panta 2. punktā noteiktajam attiecīgajam robežlielumam, kā arī drīkst kumulēt ar citu komercdarbības atbalstu attiecībā uz vienām un tām pašām attiecināmajām izmaksām vai citu komercdarbības atbalstu tai pašai riska finansējuma investīcijai saskaņā ar Komisijas regulas Nr. ​​2023/2831 5. pantu.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Atbilstoši Komisijas regulas Nr. </w:t>
            </w:r>
            <w:r w:rsidR="00000000" w:rsidRPr="00000000" w:rsidDel="00000000">
              <w:rPr>
                <w:rtl w:val="0"/>
              </w:rPr>
              <w:t xml:space="preserve">​</w:t>
            </w:r>
            <w:r w:rsidR="00000000" w:rsidRPr="00000000" w:rsidDel="00000000">
              <w:rPr>
                <w:rtl w:val="0"/>
              </w:rPr>
              <w:t xml:space="preserve">​2023/2831 6. panta 4. punktam informācijas pieejamība tiek nodrošināta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6. panta 4. punkts neparedz nosacījumus attiecībā uz informācijas pieejamību, tādēļ lūdzam precizēt noteikumu projekta 16.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20.02.2024.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20.02.2024.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