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Plāns rasisma un antisemītisma mazināšanai 2024.-2027.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tekstu 4. pasākuma sadaļās "darbības rezultāti" un "rezultatīvais rādītājs"  izmantot situācijas apraksta sadaļā. Skat. zemāk teksta piedāvājumu, kas atbilst sadaļu būtība. Tā vietā  1. darbības rezultāti: Definīcija tiek izmantota kā instruments nacionālajā līmenī. 2. ezultatīvais rādītājs: Turpinās tiesībaizsargājošo pušu prakse, ka papildus esošajam ..... </w:t>
            </w:r>
            <w:r w:rsidR="00000000" w:rsidRPr="00000000" w:rsidDel="00000000">
              <w:rPr>
                <w:i w:val="1"/>
                <w:rtl w:val="0"/>
              </w:rPr>
              <w:t xml:space="preserve">tālāk no esošā teksta</w:t>
            </w:r>
            <w:r w:rsidR="00000000" w:rsidRPr="00000000" w:rsidDel="00000000">
              <w:rPr>
                <w:rtl w:val="0"/>
              </w:rPr>
              <w:t xml:space="preserve">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Māra Sīmane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Plāns rasisma un antisemītisma mazināšanai 2024.-2027.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Aicinām formulēt tekstu 2. pasākumam tā, lai rezultatīvais rādītājs būtu uz nākotni vērsts. Esošā versijā ir sniegta atskaite par 2023.gadā paveikto.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Māra Sīmane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19.04.2024.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19.04.2024.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