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23-TA-1325: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19. aprīļa noteikumos Nr. 252 "Zinātniskās darbības bāzes finansējuma piešķiršanas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Zinātniskajai institūcijai piešķiramo bāzes finansējuma īpatsvaru no kopējā piešķirtā bāzes finansējuma (Instproc)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alga – zinātniskās institūcijas iepriekšējos trijos finansēšanas periodos zinātnē nodarbināto darbinieku – akadēmiskā personāla (vadošie pētnieki, pētnieki, zinātniskie asistenti, kā arī profesori, asociētie profesori, docenti – augstskolas noteikto pētniecības  pienākumu procentuālajā (%) apmērā no kopējiem pienākumiem), zinātnes tehniskā personāla un zinātni apkalpojošā personāla (turpmāk – zinātniskie darbinieki) – darbaspēka izmaksas zinātniskajai darbībai un tās nodrošināšanai nepieciešamajiem tehniskajiem uzdevumiem un palīgfunkcijām;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∑Alga – visu zinātnisko institūciju formulas elementa "Alga" kopsumma trijos finansēšanas periodos;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 – zinātniskās institūcijas iepriekšējos trijos finansēšanas periodos īstenoto (atbilstoši Ekonomiskās sadarbības un attīstības organizācijas (OECD) publicētajā zinātnes statistikas metodoloģijas krājumā </w:t>
            </w:r>
            <w:r w:rsidR="00000000" w:rsidRPr="00000000" w:rsidDel="00000000">
              <w:rPr>
                <w:i w:val="1"/>
                <w:rtl w:val="0"/>
              </w:rPr>
              <w:t xml:space="preserve">Frascati Manual</w:t>
            </w:r>
            <w:r w:rsidR="00000000" w:rsidRPr="00000000" w:rsidDel="00000000">
              <w:rPr>
                <w:rtl w:val="0"/>
              </w:rPr>
              <w:t xml:space="preserve"> sniegtajai definīcijai) Eiropas Savienības Ietvara programmas pētniecības un attīstības projektu, citu starptautisku pētniecības un attīstības pētījumu projektu un Latvijas valsts budžeta finansēto, zinātniskās institūcijas konkursa kārtībā iegūto pētniecības un attīstības projektu finansējums šiem projektiem. Aprēķinot formulas elementu "Konk", Eiropas Savienības Ietvara programmas pētniecības un attīstības projektu finansējumam piemēro koeficientu 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 – visu zinātnisko institūciju formulas elementa "Konk" kopsumma iepriekšējos trijos finansēšanas periodos;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Ligum – zinātniskās institūcijas iepriekšējos trijos finansēšanas periodos pētniecības un attīstības līgumdarbu (atbilstoši Ekonomiskās sadarbības un attīstības organizācijas (OECD) publicētajā zinātnes statistikas metodoloģijas krājumā </w:t>
            </w:r>
            <w:r w:rsidR="00000000" w:rsidRPr="00000000" w:rsidDel="00000000">
              <w:rPr>
                <w:i w:val="1"/>
                <w:rtl w:val="0"/>
              </w:rPr>
              <w:t xml:space="preserve">Frascati Manual</w:t>
            </w:r>
            <w:r w:rsidR="00000000" w:rsidRPr="00000000" w:rsidDel="00000000">
              <w:rPr>
                <w:rtl w:val="0"/>
              </w:rPr>
              <w:t xml:space="preserve"> sniegtajai definīcijai) iegūtais finansējums, tai skaitā pētniecības un attīstības līgumdarbi ar komersantiem, publiskām personām (piemēram, valsts, pašvaldība, valsts augstskola, valsts zinātniskais institūts) un citiem pasūtītājiem (piemēram, fiziska persona, biedrība, nodibinājums) un ieņēmumi no intelektuālā īpašuma tiesību nodošanas, kā arī finansējums, ko zinātniskā institūcija ieguvusi no starptautiskajiem pētniecības un attīstības līgumdarbiem;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∑Ligum – visu zinātnisko institūciju formulas elementa "Ligum" kopsumma iepriekšējos trijos finansēšanas periodos;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 – zinātniskās institūcijas zinātnisko publikāciju skaits iepriekšējos trijos finansēšanas periodos, kur tām publikācijām, kuras ir iekļautas </w:t>
            </w:r>
            <w:r w:rsidR="00000000" w:rsidRPr="00000000" w:rsidDel="00000000">
              <w:rPr>
                <w:i w:val="1"/>
                <w:rtl w:val="0"/>
              </w:rPr>
              <w:t xml:space="preserve">Web of Science</w:t>
            </w:r>
            <w:r w:rsidR="00000000" w:rsidRPr="00000000" w:rsidDel="00000000">
              <w:rPr>
                <w:rtl w:val="0"/>
              </w:rPr>
              <w:t xml:space="preserve"> vai </w:t>
            </w:r>
            <w:r w:rsidR="00000000" w:rsidRPr="00000000" w:rsidDel="00000000">
              <w:rPr>
                <w:i w:val="1"/>
                <w:rtl w:val="0"/>
              </w:rPr>
              <w:t xml:space="preserve">SCOPUS</w:t>
            </w:r>
            <w:r w:rsidR="00000000" w:rsidRPr="00000000" w:rsidDel="00000000">
              <w:rPr>
                <w:rtl w:val="0"/>
              </w:rPr>
              <w:t xml:space="preserve"> datubāzēs un kuras ir publicētas Q1 kvartīles izdevumos, kā arī publiski recenzētajām zinātniskajām monogrāfijām un starptautiskajiem patentiem  piemēro koeficientu 3, Q2 kvartīles  izdevumos – koeficientu 2,  pārējām </w:t>
            </w:r>
            <w:r w:rsidR="00000000" w:rsidRPr="00000000" w:rsidDel="00000000">
              <w:rPr>
                <w:i w:val="1"/>
                <w:rtl w:val="0"/>
              </w:rPr>
              <w:t xml:space="preserve">Web of Science</w:t>
            </w:r>
            <w:r w:rsidR="00000000" w:rsidRPr="00000000" w:rsidDel="00000000">
              <w:rPr>
                <w:rtl w:val="0"/>
              </w:rPr>
              <w:t xml:space="preserve"> vai </w:t>
            </w:r>
            <w:r w:rsidR="00000000" w:rsidRPr="00000000" w:rsidDel="00000000">
              <w:rPr>
                <w:i w:val="1"/>
                <w:rtl w:val="0"/>
              </w:rPr>
              <w:t xml:space="preserve">SCOPUS</w:t>
            </w:r>
            <w:r w:rsidR="00000000" w:rsidRPr="00000000" w:rsidDel="00000000">
              <w:rPr>
                <w:rtl w:val="0"/>
              </w:rPr>
              <w:t xml:space="preserve"> datubāzēs iekļautajām zinātniskajām publikācijām un citiem patentiem – koeficientu 1, citiem starptautisko datubāzu iekļautajos izdevumos publicētajiem oriģinālajiem zinātniskajiem rakstiem – koeficientu 0,5.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"Publ" par zinātniskās institūcijas zinātniskajām publikācijām, kas ir iekļautas </w:t>
            </w:r>
            <w:r w:rsidR="00000000" w:rsidRPr="00000000" w:rsidDel="00000000">
              <w:rPr>
                <w:i w:val="1"/>
                <w:rtl w:val="0"/>
              </w:rPr>
              <w:t xml:space="preserve">Web of Science</w:t>
            </w:r>
            <w:r w:rsidR="00000000" w:rsidRPr="00000000" w:rsidDel="00000000">
              <w:rPr>
                <w:rtl w:val="0"/>
              </w:rPr>
              <w:t xml:space="preserve"> vai </w:t>
            </w:r>
            <w:r w:rsidR="00000000" w:rsidRPr="00000000" w:rsidDel="00000000">
              <w:rPr>
                <w:i w:val="1"/>
                <w:rtl w:val="0"/>
              </w:rPr>
              <w:t xml:space="preserve">SCOPUS</w:t>
            </w:r>
            <w:r w:rsidR="00000000" w:rsidRPr="00000000" w:rsidDel="00000000">
              <w:rPr>
                <w:rtl w:val="0"/>
              </w:rPr>
              <w:t xml:space="preserve"> datubāzēs, kurās to kopējais autoru skaits pārsniedz 50 un kurās zinātniskās institūcijas autors vai autori nav norādīti kā zinātniskās publikācijas pirmais, otrais vai pēdējais autors, – tās papildus citiem koeficientiem tiek reizinātas ar koeficientu  0,1. Nosakot "Publ" atbilstību Q1 vai Q2 izdevumiem, ja zinātniskajai publikācijai, kura ir iekļauta gan </w:t>
            </w:r>
            <w:r w:rsidR="00000000" w:rsidRPr="00000000" w:rsidDel="00000000">
              <w:rPr>
                <w:i w:val="1"/>
                <w:rtl w:val="0"/>
              </w:rPr>
              <w:t xml:space="preserve">Web of Science</w:t>
            </w:r>
            <w:r w:rsidR="00000000" w:rsidRPr="00000000" w:rsidDel="00000000">
              <w:rPr>
                <w:rtl w:val="0"/>
              </w:rPr>
              <w:t xml:space="preserve">, gan </w:t>
            </w:r>
            <w:r w:rsidR="00000000" w:rsidRPr="00000000" w:rsidDel="00000000">
              <w:rPr>
                <w:i w:val="1"/>
                <w:rtl w:val="0"/>
              </w:rPr>
              <w:t xml:space="preserve">SCOPUS</w:t>
            </w:r>
            <w:r w:rsidR="00000000" w:rsidRPr="00000000" w:rsidDel="00000000">
              <w:rPr>
                <w:rtl w:val="0"/>
              </w:rPr>
              <w:t xml:space="preserve"> datubāzē, starp šīm abām datubāzēm atšķiras izdevumu atbilstība Q1 vai Q2 kvartīlēm, tām piemēro augstāko koeficientu;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 – visu zinātnisko institūciju formulas elementa "Publ" kopsumma iepriekšējos trijos finansēšanas periodos;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DrMg – zinātniskās institūcijas vadošo pētnieku, pētnieku un zinātnisko asistentu iepriekšējos trijos finansēšanas periodos noteiktajā kārtībā sekmīgi aizstāvētie promocijas darbi un pētnieku, zinātnisko asistentu un zinātnes tehniskā personāla iepriekšējos trijos finansēšanas periodos noteiktajā kārtībā sekmīgi aizstāvētie maģistra darbi. Nosakot "DrMg", izmanto informāciju tikai par tiem doktora  un maģistra grāda ieguvējiem, kuru nodarbinātība zinātniskajā institūcijā noteiktajos amatos attiecīgajā finansēšanas periodā ir ne mazāka kā 0,2 slodzes pilna laika ekvivalenta izpratnē. Ar pilna darba laika ekvivalentu saprot nodarbinātā darbinieka kopējā nostrādāto stundu skaita (tai skaitā ikgadējā apmaksātā atvaļinājuma) attiecību pret kopējo darba stundu skaitu attiecīgajā gadā, kurā ir aizstāvēts promocijas vai maģistra darbs;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∑DrMg –  visu zinātnisko institūciju formulas elementa "DrMg" kopsumma iepriekšējos trijos finansēšanas periodos, nosakot, ka katrā no iepriekšējiem finansēšanas periodiem 75 % no šī kritērija finansējuma piešķir par promocijas darbiem, bet 25 % – par maģistra darbiem;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Izc – zinātniskās institūcijas nodarbinātā zinātniskā personāla pilna laika ekvivalenta izteiksmē, kas norādīts pēdējā zinātnisko institūciju starptautiskajā novērtējumā, vai tās vērtējamo vienību skaita, kurās vismaz viens no novērtētajiem kritērijiem atbilstoši normatīvajam regulējumam par zinātnisko institūciju darbības starptautiskā novērtējuma organizēšanas kārtību ir novērtēts ar "4" vai "5" (turpmāk – starptautiskais novērtējums), reizinājums ar "4" vai "5" kritēriju īpatsvaru no kopējā kritēriju skaita. Kritērijiem, kuri novērtēti ar "4" attiecībā uz nodarbinātā zinātniskā personāla skaitu pilna laika ekvivalenta izteiksmē, piemēro koeficientu 1, bet kritērijiem, kuri novērtēti ar "5", koeficientu 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∑Izc  – visu zinātnisko institūciju formulas elementa "Izc" kopsumma;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Infr – zinātniskajai institūcijai piešķiramais bāzes finansējums zinātniskās infrastruktūras (būvju un iekārtu) uzturēšanai, pamatojoties uz ministrijas organizētā un atbilstoši publisko iepirkumu normatīvā regulējuma  ietvaros veiktā  nacionālās zinātniskās infrastruktūras apsekojuma, kartējuma un analīzes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∑Infr – visu zinātnisko institūciju formulas elementa "Infr" kopsumma.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paredzēt atrunu, ka tiek attiecināta Dr, Mg darbu aizstāvēšana, ja autora slodze pirms BKA uzsākšanās ir ne mazāka kā 0,2 PLE. Praksē bērnu kopšanas atvaļinājuma ilgums ir 1.5 gadi, kur pirms tam vēl tiek paredzēts aptuveni 2 mēnešu garš atvaļinājums. Līdz ar minēto, esošā redakcija tikai daļēji risina šo problēmu.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DrMg – zinātniskās institūcijas vadošo pētnieku, pētnieku un zinātnisko asistentu iepriekšējos trijos finansēšanas periodos noteiktajā kārtībā sekmīgi aizstāvētie promocijas darbi un pētnieku, zinātnisko asistentu un zinātnes tehniskā personāla iepriekšējos trijos finansēšanas periodos noteiktajā kārtībā sekmīgi aizstāvētie maģistra darbi. Nosakot "DrMg", izmanto informāciju tikai par tiem doktora  un maģistra grāda ieguvējiem, kuru nodarbinātība zinātniskajā institūcijā noteiktajos amatos attiecīgajā finansēšanas periodā ir ne mazāka kā 0,2 slodzes pilna laika ekvivalenta izpratnē. Ar pilna darba laika ekvivalentu saprot nodarbinātā darbinieka kopējā nostrādāto stundu skaita (tai skaitā ikgadējā apmaksātā atvaļinājuma</w:t>
            </w:r>
            <w:r w:rsidR="00000000" w:rsidRPr="00000000" w:rsidDel="00000000">
              <w:rPr>
                <w:b w:val="1"/>
                <w:rtl w:val="0"/>
              </w:rPr>
              <w:t xml:space="preserve"> un bērna kopšanas atvaļinājuma</w:t>
            </w:r>
            <w:r w:rsidR="00000000" w:rsidRPr="00000000" w:rsidDel="00000000">
              <w:rPr>
                <w:rtl w:val="0"/>
              </w:rPr>
              <w:t xml:space="preserve">) attiecību pret kopējo darba stundu skaitu attiecīgajā gadā, kurā ir aizstāvēts promocijas vai maģistra darbs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Līva (ZM)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23-TA-1325</w:t>
    </w:r>
    <w:r>
      <w:br/>
    </w:r>
    <w:r w:rsidR="00000000" w:rsidRPr="00000000" w:rsidDel="00000000">
      <w:rPr>
        <w:rtl w:val="0"/>
      </w:rPr>
      <w:t xml:space="preserve">Izdrukāts 06.07.2023. 12.17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23-TA-1325</w:t>
    </w:r>
    <w:r>
      <w:br/>
    </w:r>
    <w:r w:rsidR="00000000" w:rsidRPr="00000000" w:rsidDel="00000000">
      <w:rPr>
        <w:rtl w:val="0"/>
      </w:rPr>
      <w:t xml:space="preserve">Izdrukāts 06.07.2023. 12.17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Atzinumi_23-TA-1325.docx</dc:title>
</cp:coreProperties>
</file>

<file path=docProps/custom.xml><?xml version="1.0" encoding="utf-8"?>
<Properties xmlns="http://schemas.openxmlformats.org/officeDocument/2006/custom-properties" xmlns:vt="http://schemas.openxmlformats.org/officeDocument/2006/docPropsVTypes"/>
</file>