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tiesu ekspertīžu institūta reformas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 finansējuma piešķiršanas iespējas būs ierobežotas arī turpmākajos gados un resursi ministriju papildu izdevumiem būs primāri jāmeklē iekšēji pārskatot un optimizējot esošos izdevumus, līdz ar to nepieciešamais finansējums vienotās tiesu ekspertīžu iestādes darbības nodrošināšanai un reformas pabeigšanai jārod esošā budžeta ietvaros, Tieslietu ministrijai izvērtējot un pārskatot esošos izdevumus. Attiecīgi ir jāprecizē informatīvā ziņojumā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05.02.2026.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05.02.2026.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Atzinumi_25-TA-2213.docx</dc:title>
</cp:coreProperties>
</file>

<file path=docProps/custom.xml><?xml version="1.0" encoding="utf-8"?>
<Properties xmlns="http://schemas.openxmlformats.org/officeDocument/2006/custom-properties" xmlns:vt="http://schemas.openxmlformats.org/officeDocument/2006/docPropsVTypes"/>
</file>