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Sodu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uztur 23.05.2023. iebildumus daļā par datu apstrādē, pārnesot personu datus no Sodu reģistra aktuālās datu bāzes uz arhīva datu bāzi un faktiski tos “dublējot”, apstrādājamo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atkārtoti norāda, ka nav saprotams, vai datu pārnešana no Sodu reģistra aktuālās datu bāzes uz arhīva datu bāzi pilnā apjomā, datus faktiski “dublējot”, ir absolūti nepieciešama konkrētā nolūka (kriminālprocesa nodrošināšanai - kriminālprocesa atjaunošanu sakarā ar jaunatklātiem apstākļiem) sasniegšanai un vai minēto nolūku nav iespējams sasniegt ar pamattiesības mazāk ierobežojošiem līdzekļiem, piemēram, datus pilnībā nedublējot.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no anotācijā norādītās informācijas izriet, ka datu dublēšana nepieciešama, lai gadījumā, ja kriminālprocess tiek atjaunots sakarā ar jaunatklātiem apstākļiem, ziņu apjoms Sodu reģistra aktuālajā datubāzē būtu atbilstošs Sodu reģistra likumā noteiktajam ziņu apjomam. Attiecībā uz šo skaidrojumu Inspekcija norāda, ka būs gadījumi, kad netiks konstatēti jaunatklāti apstākļi un tādā gadījumā nav saprotama un pamatota datu apstrāde – glabāšana arhīva datu bāzē minētajā apjomā, datus “dublējot”. Inspekcija norāda, ka datu apstrāde – pārnešana un glabāšana pilnā apjomā, nav pamatojama vien ar apsvērumu, ka dati varētu būt vajadzīgi – ir jābūt reālai un objektīvai nepieciešamībai datu glabāšanai, tostarp glabāšanai noteiktā apjomā. Tāpat ir norādījusi arī Latvijas Republikas Satversmes tiesa 2022. gada 22. decembra spriedumā lietā Nr. 2022-09-01 18.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Inspekcija norāda, ka anotācijā būtu jānorāda papildus informācija par to, kāpēc ir absolūti nepieciešama datu apstrāde paredzētajā apjomā, tostarp arī norādot, kāpēc nav iespējams sasniegt datu apstrādes nolūku, apstrādājot mazāku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15.06.2023.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15.06.2023.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Atzinumi_23-TA-615.docx</dc:title>
</cp:coreProperties>
</file>

<file path=docProps/custom.xml><?xml version="1.0" encoding="utf-8"?>
<Properties xmlns="http://schemas.openxmlformats.org/officeDocument/2006/custom-properties" xmlns:vt="http://schemas.openxmlformats.org/officeDocument/2006/docPropsVTypes"/>
</file>