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Mērķa finansējuma izlietojuma pārvaldības platformas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finansējuma izlietojuma pārvaldības platformas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noteikumu projektā (noteikumu projekta 15.2.1.apakšpunkts un 24.2.apakšpunkts) minētās informācijas sistēmas "eKase" nosaukumu uz "Budžeta elektronisko norēķinu sistēma "eKase"" (atbilstošā locījumā) atbilstoši Valsts informācijas sistēmu reģistra Valsts informācijas sistēmu sarakstam, kā arī precizēt skaidrojumu anotācijas 1.3.sadaļā, aizstājot to ar šādu (pēc nepieciešamības papildinot to ar skaidrojošu informāciju par to, kādam mērķim (kādai pārbaudei) saņemtā informācija par kontos reģistrētiem ienākošajiem un izejošajiem maksājumiem tiks izmantota, piemēram, veikto izmaksu un saņemto atmaksu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"Integrācija ar Budžeta elektronisko norēķinu sistēmu "eKase" un datu saņemšana tiešsaistes režīmā tiks nodrošināta atbilstoši Ministru kabineta 2021. gada 25. februāra noteikumos Nr. 128 “Kārtība, kādā nodrošina informācijas apriti, izmantojot Valsts kases e-pakalpojumus” noteiktajai kārtībai. Tiešsaistes datu apmaiņas modulis nodrošina klienta (noteikumu projekta izpratnē - MAP izmantotāja) konta pārskata un debeta/kredīta ziņojumu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Antra Lange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MAP pārzinis MAP pieejamību nodrošina vismaz 99,5 procenti mēnesī no paredzētā MAP noteiktā darbības laika, 24x7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juridiskās tehnikas prasības un lai nerastos normas nekorektas interpretācijas iespējas, lūdzam noteikumu projekta 8.punktu izteikt jaunā redakcijā un attiecīgi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MAP pārzinis nodrošina nepārtrauktu diennakts MAP pieejamību vismaz 99,5 procenti mēnesī no paredzētā MAP noteiktā darbības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sadaļas apakšsadaļas "Pašreizējā situācija" 4. rindkopā vārdus "Eiropas Savienības fondu" ar vārdiem "Eiropas Savienības struktūrfondu un Kohēzijas fonda", pēc nepieciešamības atrunājot arī saīsinājumu, kuru lietot turpmākajā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pārskatīt un precizēt arī atrunātā saīsinājuma "ES" 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3.sadaļas 6.punktā atsauces uz Likuma par budžetu un finanšu vadību pantiem, t.i., lūdzam aizstāt skaitli "9.1" ar skaitli "9.</w:t>
            </w:r>
            <w:r w:rsidR="00000000" w:rsidRPr="00000000" w:rsidDel="00000000">
              <w:rPr>
                <w:vertAlign w:val="superscript"/>
                <w:rtl w:val="0"/>
              </w:rPr>
              <w:t xml:space="preserve">1</w:t>
            </w:r>
            <w:r w:rsidR="00000000" w:rsidRPr="00000000" w:rsidDel="00000000">
              <w:rPr>
                <w:rtl w:val="0"/>
              </w:rPr>
              <w:t xml:space="preserve">" un aizstāt skaitli “18.1”ar skaitli “18.</w:t>
            </w:r>
            <w:r w:rsidR="00000000" w:rsidRPr="00000000" w:rsidDel="00000000">
              <w:rPr>
                <w:vertAlign w:val="superscript"/>
                <w:rtl w:val="0"/>
              </w:rPr>
              <w:t xml:space="preserve">1</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fonda 2014.-2020. gada plānošanas perioda projekta Nr. 2.2.1.1/21/I/001 “Datu izplatīšanas un pārvaldības platforma” (turpmāk – DAGR projekts) pabeigšanas pieprasīt finansējumu atbilstoši Likuma par budžetu un finanšu vadību 9.1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protokollēmuma projekta 1. punktā vārdus "Eiropas Savienības fonda"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Vides aizsardzības un reģionālās attīstības ministrijai pēc Eiropas Savienības fonda 2014.-2020. gada plānošanas perioda projekta Nr. 2.2.1.1/21/I/001 “Datu izplatīšanas un pārvaldības platforma” (turpmāk – DAGR projekts) pabeigšanas pieprasīt finansējumu atbilstoši Likuma par budžetu un finanšu vadību 9.1 panta otrajā daļā noteiktajam, lai nodrošinātu DAGR projekta ietvaros izstrādātās Mērķa finansējuma izlietojuma pārvaldības platformas uzturēšanu atbilstoši Ministru kabineta 2021. gada 11. janvāra rīkojumam Nr. 9 “Par informācijas sabiedrības attīstības pamatnostādņu ieviešanu publiskās pārvaldes informācijas sistēmu jomā (mērķarhitektūras 56.0.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protokollēmuma projekta 1.punktā atsauci uz Likuma par budžetu un finanšu vadību pantu, t.i., lūdzam aizstāt skaitli "9.1" ar skaitli "9.</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25.10.2023. 16.15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23-TA-1157</w:t>
    </w:r>
    <w:r>
      <w:br/>
    </w:r>
    <w:r w:rsidR="00000000" w:rsidRPr="00000000" w:rsidDel="00000000">
      <w:rPr>
        <w:rtl w:val="0"/>
      </w:rPr>
      <w:t xml:space="preserve">Izdrukāts 25.10.2023. 16.15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Atzinumi_23-TA-1157.docx</dc:title>
</cp:coreProperties>
</file>

<file path=docProps/custom.xml><?xml version="1.0" encoding="utf-8"?>
<Properties xmlns="http://schemas.openxmlformats.org/officeDocument/2006/custom-properties" xmlns:vt="http://schemas.openxmlformats.org/officeDocument/2006/docPropsVTypes"/>
</file>