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aktuālā un iepriekšējā deklarētās, reģistrētās vai personas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w:t>
            </w:r>
            <w:r w:rsidR="00000000" w:rsidRPr="00000000" w:rsidDel="00000000">
              <w:rPr>
                <w:u w:val="single"/>
                <w:rtl w:val="0"/>
              </w:rPr>
              <w:t xml:space="preserve">jebkurai personas datu apstrādei ir jābūt tiesiskam pamatam</w:t>
            </w:r>
            <w:r w:rsidR="00000000" w:rsidRPr="00000000" w:rsidDel="00000000">
              <w:rPr>
                <w:rtl w:val="0"/>
              </w:rPr>
              <w:t xml:space="preserve">.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b) apakšpunktā ir ietverts nolūka ierobežojuma princips, proti, </w:t>
            </w:r>
            <w:r w:rsidR="00000000" w:rsidRPr="00000000" w:rsidDel="00000000">
              <w:rPr>
                <w:u w:val="single"/>
                <w:rtl w:val="0"/>
              </w:rPr>
              <w:t xml:space="preserve">jebkura personas datu apstrāde jāveic noteikta, precīzi definēta mērķa sasniegšanai un tikai tādu papildu mērķu sasniegšanai, kas ir saderīgi ar sākotnējo mērķi</w:t>
            </w:r>
            <w:r w:rsidR="00000000" w:rsidRPr="00000000" w:rsidDel="00000000">
              <w:rPr>
                <w:rtl w:val="0"/>
              </w:rPr>
              <w:t xml:space="preserve">. Personas datu apstrāde nenoteiktam un/vai neierobežotam nolūku skaitam ir nelikumīga.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pārzinis ir atbildīga par personas datu apstrādes atbilstību Datu regulai (sniedzot datus) un Labklājības ministrija kā valsts informācijas sistēmas “DigiSoc” pārzinis ir atbildīga par personas datu apstrādes atbilstību Datu regulai (apstrādājot datus),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8.1.13.sadaļu ar personas aktuālās un iepriekšējās deklarētās, reģistrētās vai personas norādītās dzīvesvietas adreses apstrādes mērķi, norādot arī normatīvo aktu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Datu izplatīšanas un pārvaldīšanas platformā (DAGR) šobrīd nav iespējams izgūt vēsturisko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 deklarācijā norādītās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6.2.2.5.1. un 6.2.2.5.2.apakšpunkta izriet, ka uzkrājot sistēmā ziņas par personas mantisko stāvokli, tiek vākti un apstrādāti dati par iztikas līdzekļu deklarācijām un deklarācijā minētajām personām, norādot deklarācijā norādītās personas saistības veidu ar iesniedzēju (radinieks, laulātais, partneris), kā arī deklarācijā norādītās personas vārdu (vārdiem), uzvārdu, personas kodu un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neoficiālās saskaņošanas procesā Pilsonības un migrācijas lietu pārvalde vairākkārt ir norādījusi, ka šobrīd nav atrisināta situācija, kurā ir zināms tikai norādītās personas personas kods, kā arī nav noteikts mehānisms, kā tiks veikta saistības pārbaude, vai tiks pārbaudīti visi iespējamie radinieki (māte, tēvs, bērni u. c.) (</w:t>
            </w:r>
            <w:r w:rsidR="00000000" w:rsidRPr="00000000" w:rsidDel="00000000">
              <w:rPr>
                <w:i w:val="1"/>
                <w:rtl w:val="0"/>
              </w:rPr>
              <w:t xml:space="preserve">sistēmā uzreiz parādās saraksts ar visiem personas radiniekiem</w:t>
            </w:r>
            <w:r w:rsidR="00000000" w:rsidRPr="00000000" w:rsidDel="00000000">
              <w:rPr>
                <w:rtl w:val="0"/>
              </w:rPr>
              <w:t xml:space="preserve">) un meklēta sakritība.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pieeja neatbilst Eiropas Parlamenta un Padomes 2016.gada 27.aprīļa regulas (ES) 2016/679 par fizisku personu aizsardzību attiecībā uz personas datu apstrādi un šādu datu brīvu apriti un ar ko atceļ direktīvu 95/46/EK (Vispārīgā datu aizsardzības regula) 5.panta 1.punkta c) apakšpunktā ietvertajam datu minimizēšanas principam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korekti apstrādāt visu iespējamo saistīto personu datus ar mērķi noteikt saistības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izvairītos no pārmērīgas un, iespējams, Datu regulas 5.panta 1.punkta c) apakšpunktam neatbilstošas personas datu apstrādes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deklarācijas veidlapu ar iespēju norādīt saistības veidu (piemēram, māte, tēvs, bērns,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sistēmu saslēgumu izmantošanu – pastāv tehniskas iespējas pēc norādītajiem personas kodiem apstiprināt saistību starp personām. Tomēr arī šādā gadījumā iesniedzējam ir jānorāda konkrēts saistības veids, lai izvairītos no pārmērīgas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tehniskajā realizācijā šobrīd var izgūt arī personas aktuālā laulātā vārda datus, kā arī partnera vārda datus, taču saistības statuss būtu secināms pastarpināti – no tā, caur kuru pieprasījumu tika izgūta saistītās personas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Pilsonības un migrācijas lietu pārvaldes pārziņā esošās valsts informācijas sistēmas "Fizisko personu reģistrs" – šo noteikumu 6.1.1., 6.1.2., 6.1.3., 6.1.4., 6.1.6., 6.1.8., 6.1.11., 6.1.12., 6.1.13., 6.2.2.1., 6.2.2.5.1. un 6.2.2.5.2.apakšpunktā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pārvaldes pārziņā esošajā valsts informācijas sistēmā "Fizisko personu reģistrs" netiek uzkrātas ziņas, kas minētas šā projekta 6.1.12.6.apakšpunktā – dokumenta aktuālais statuss valsts informācijas sistēmā "Nederīgo dokumentu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šādas ziņas tiek uzkrātas Iekšlietu ministrijas Informācijas centra pārziņā esošajā  valsts informācijas sistēmā “Nederīgo dokumentu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pārvaldes pārziņā esošās valsts informācijas sistēmas "Fizisko personu reģistrs" – šo noteikumu 6.1.1., 6.1.2., 6.1.3., 6.1.4., 6.1.6., 6.1.8., 6.1.11., 6.1.12. (izņemot šo noteikumu 6.1.12.6.apakšpunktā) , 6.1.13., 6.2.2.1., 6.2.2.5.1. un 6.2.2.5.2.apakšpunktā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Iekšlietu ministrijas Informācijas centram – šo noteikumu 8. punktā minētā sociālā pakalpojuma sniegšanas pārtraukšanu vai izbeigšanu un šo noteikumu 8.1.7.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iepriekš ir informējis Labklājības ministriju, ka neplāno attīstīt Nepilngadīgo personu atbalsta informācijas sistēmu un pārstrādāt vai veidot jaunas integrācijas ar citām informācijas sistēmām vai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36.8.apakšpunktu.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6.1.8.apakšpunkta redakciju, ņemot vērā Fizisko personu reģistra likuma 11.panta pirmās daļas 23.punktā lietoto terminoloģiju – "ziņas par personas rīcībspējas ierobežošanu vai rīcībspējas ierobežojuma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personas rīcībspējas ierobežošanu vai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Sociālās aprūpes pakalpojuma dzīvesvietā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par visām fiziskajām personām uzkrāt datus par projekta 6.1.11.apakšpunktā norādīto informāciju (</w:t>
            </w:r>
            <w:r w:rsidR="00000000" w:rsidRPr="00000000" w:rsidDel="00000000">
              <w:rPr>
                <w:i w:val="1"/>
                <w:rtl w:val="0"/>
              </w:rPr>
              <w:t xml:space="preserve">ziņas par personas statusu Fizisko personu reģistrā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“aktīvs” Fizisko personu reģistrā tiek norādīts Latvijas pilsonim, Latvijas nepilsonim un Fizisko personu reģistra likuma 4. panta pirmās daļas “a”, “g” un “i” apakšpunktā minētajām personām un gadījumā, ja minētajām personām zūd tiesiskais statuss Latvijas Republikā, tad personām tiek norādīts statuss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Dzīvesvietas deklarēšanas likuma 12. panta septīto un astoto daļu, ja dzīvesvietas deklarētājs zaudējis Latvijas pilsoņa vai nepilsoņa statusu un divu mēnešu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attiecīgā statusa zaudēšanas dienu. Ja dzīvesvietas deklarētājam anulēta izsniegtā reģistrācijas apliecība, pastāvīgās uzturēšanās apliecība vai uzturēšanās atļauja vai beidzies tās derīguma termiņš un mēneša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reģistrācijas apliecības, pastāvīgās uzturēšanās apliecības vai uzturēšanās atļaujas anulēšanas vai derīguma termiņa beigšanās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Latvijas pilsonis vai Latvijas nepilsonis zaudējis tiesisko statusu Latvijas Republikā un jauns statuss nav noteikts un personai ir norādīts statuss “pasīvs” Fizisko personu reģistrā, tad ziņas par deklarētās dzīvesvietas adresi ir uzskatāmas par anulētām. Tāpat, ja personai, kurai anulēta izsniegtā reģistrācijas apliecība, pastāvīgās uzturēšanās apliecība vai uzturēšanās atļauja vai beidzies tās derīguma termiņš un mēneša laikā viņai nav noteikts cits tiesiskais statuss Latvijas Republikā, tad personai tiek norādīts statuss “pasīvs” Fizisko personu reģistrā un ziņas par deklarētās dzīvesvietas adresi ir uzskatāmās par anulētām.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24.09.2025.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24.09.2025.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