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4.1.5.apakšpunktā ietverts pasākums, kas paredz noteikt vienotu regulējumu atvieglojumiem un izņēmumiem, kas ir piemērojamas Nacionālo interešu objekta būvniecībai, kā ietvaros būtu izstrādājams likums par nacionālo interešu objekta īstenošanu, nosakot iespējamos atvieglojumus, ko piešķir nacionālā interešu objekta statuss (teritorijas plānošanas process, ietekmes uz vidi novērtējums, zemes ierīcība, būvniecība, atmežošana, īpašuma reģistrācijas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rosina šāda veida atvieglojumus un izņēmumus attiecināt arī uz tādu objektu būvniecību, kam nav piešķirts nacionālā interešu objekta statuss, bet kas ir saistīti ar iespējamā apdraudējuma novēršanu Latvijas Republikas iekšējai drošībai, t.sk. tādu būvju būvniecību, kas saistītas ar  robežkontroles pagaidu atjaunošanu pie iekšējām robežām vai uz jebkuras citas būves būvniecību, kuras būvniecība tiek īstenota ārkārtējās situācijas novēršanai vai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3.1.2.2.apakšpunktā ietverts pasākums, kas paredz grozīt likumu “Par ietekmes uz vidi novērtējumu” un Ministru kabineta 2015. gada 13. janvāra noteikumus Nr.18 “Kārtība, kādā novērtē paredzētās darbības ietekmi uz vidi un akceptē paredzēto darbību, nosakot sabiedrības tiesības tikt iepazīstinātai ar plānoto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rosina šajos tiesību aktos noteikt izņēmumu, paredzot, ka šī prasība nav attiecināma uz darbībām valsts pierobežas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3.1.1.4.apakšpunktā ietverts pasākums, kas paredz noteikt būvtāfeles lomu būvniecības ieceres īstenošanas procesā, nosakot ka tā ir tikai papildus sabiedrības informēšanas pienākums, tās neesamība konkrētajā dienā nav uzskatāma par nepietiekamību sabiedrības informēšanu un nevar būt iemesls apstrīdēšanas termiņa pagarināšanai, vienlaikus pārskatot būvtāfelē norādāmās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dara zināmu, ka ir rosinājusi attiecīgo prasību par būvtāfeles izvietošanu neattiecināt uz Valsts robežsardzes būvēm valsts pierobežas joslā. Līdzīgu ierosinājumu izteikusi arī Saeimas Aizsardzības, iekšlietu un korupcijas novēršanas komisija, lūdzot attiecīgo prasību neattiecināt uz Aizsardzības ministrijas, tās padotības iestādi un Nacionālajiem bruņotajiem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informatīvā ziņojuma 3.1.1.4.apakšpunktā paredzēto pasākumu, paredzot arī pārskatīt būvftāfeles izmantošanas nepieciešamību konkrētos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28.02.2024.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28.02.2024.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