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1.5. Pēcpārbaudes (ex-post) izvērtējums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1.5.sadaļā norādīts ietekmes pēcpārbaudes veikšanas termiņš "36", bet nav precizēts, kāds laika intervāls tieši šeit ir paredzēts mēneši vai gadi. Lūdzam papildināt.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Juris Lukss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