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nosaka stipendiju veidus, stipendiju saņemšanas kritērijus un kārtību, kā arī stipendiju minimālo un maksimālo apmēru izglītojamiem augstākās izglītības programmās, un profesionālās izglītības programmās izglītojamiem, kuri uzņemti atbilstoši valsts vai pašvaldību finansēto vietu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9.panta piektā daļa noteic, ja spēku zaudē normatīvā akta izdošanas tiesiskais pamats (augstāka juridiska spēka tiesību norma, uz kuras pamata izdots cits normatīvais akts), tad spēku zaudē arī uz šā pamata izdotais normatīvais akts vai tā daļa. Ņemot vērā minēto, kopsakarā ar to, ka zaudēs spēku pirms nepilna gada ir izdoti Ministru kabineta 2024. gada 17. decembra noteikumu Nr. 818 "Noteikumi par stipendijām", ar grozījumiem 2025.gada 10.jūnijā, kas būtiski mainīja stipendiju piešķiršanas kārtību profesionālās vidējās izglītības iestādēs, lūdzam izvērtēt iespēju tiesību normā tikai svītrot vārdus "konkursa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14.panta 23.punktā vārdus "konkursa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25.09.2025.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25.09.2025.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Atzinumi_25-TA-1839.docx</dc:title>
</cp:coreProperties>
</file>

<file path=docProps/custom.xml><?xml version="1.0" encoding="utf-8"?>
<Properties xmlns="http://schemas.openxmlformats.org/officeDocument/2006/custom-properties" xmlns:vt="http://schemas.openxmlformats.org/officeDocument/2006/docPropsVTypes"/>
</file>