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Par elektroenerģijas tirdzniecības līguma izbeigšanu lietotājs informē tirgotāju elektroenerģijas tirdzniecības līgumā noteiktajā kārtībā. Ja objektā skaitītāju rādījumi netiek iegūti ar distances saziņas līdzekļiem, lietotājs fiksē elektroenerģijas komercuzskaites mēraparāta rādījumus, paziņo tos sadales sistēmas operatoram vai tirgotājam to noteiktajā veidā. Puses elektroenerģijas tirdzniecības līgumā noteiktajā termiņā, bet ne vēlāk kā sešu nedēļu laikā no dienas, kad lietotājs ir informējis tirgotāju par elektroenerģijas tirdzniecības līguma izbeigšanu, veic galīgo norēķinu par saņemto elektroenerģiju, sistēmas operatora sniegtajiem sistēmas pakalpojumiem un citiem pakalpojumiem. Lietotājs samaksā līguma pirmstermiņa izbeigšanas maksu, ja tāda ir paredzēta elektroenerģijas tirdzniecības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27.punkts ir papildināts ar nosacījumu, ka sešu nedēļu laikā, kopš lietotājs ir informējis tirgotāju, puses veic galīgo norēķinu. AS "Latvenergo" ieskatā šāds papildinājums, ierobežojot maksimālo gala norēķina veikšanas termiņu nav nepieciešams, jo praksē  nav novērotas situācijas, ka tirdzniecības līgumā noteiktā kārtība rada tiesiski nenoteiktību gala norēķina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līgumā ietverami nosacījumi, kas atļauj lietotājam atkāpties no noslēgtā elektroenerģijas tirdzniecības līguma pirms elektroenerģijas piegādes uzsākšanas, par to paziņojot līdz iepriekšējā mēneša divdesmit ceturtajam datumam pirms paredzētās elektroenerģijas piegādes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normu nosakot, ka tiesības atkāpties no tirdzniecības līguma pirms piegādes uzsākšanas ir veicot tirgotāja maiņas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sistēmas operators ir saņēmis tirgotāja vai citas personas pieprasījumu par elektroenerģijas piegādi citam lietotājam attiecīgajā objektā un sistēmas operators par to paziņojis līdzšinējā lietotāja tirgotājam objektā. Ja rodas strīds par veikto lietotāja maiņu objektā, sistēmas operators pēc pieprasījuma elektroenerģijas piegādi nodrošina lietotājam, kurš apliecina objekta īpašuma, lietošanas vai valdījuma tiesības. Sadales sistēmas operators neveic izmaiņas izpildītajos tirgotāja elektroenerģijas tirgus ziņojumos par iepriekšējo norēķinu periodu. Sistēmas operatoram ir tiesības elektroenerģijas tirgus dalībniekiem pieprasīt situācijas izvērtēšanai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piedāvātās izmaiņas 78.2. punktā nav objektīvi labākais risinājums, lai regulētu apstākļus, kā notiek līguma izbeigšana mainoties objekta lietotājam. No rosinātajām izmaiņām izriet, ka netiek regulēts termiņš, kura laikā lietotāja maiņu var atsaukt, kas var nozīmēt, ka strīds par veikto lietotāja maiņu var notikt neregulētā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Tirgotājs elektroenerģijas tirdzniecības līgumu klātienē vai izmantojot distances saziņas līdzekļus slēdz ar lietotāju, kurš apliecinājis objekta īpašuma, lietošanas vai valdījuma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79.1.punktu, jo analoģisks regulējums, kādā kārtībā slēdz elektroenerģijas tirdzniecības līgumu ir iekļauts Elektroenerģijas tirgus likuma 5.panta pirmajā daļā. Turklāt papildinājums, ka tirdzniecības līgumu var slēgt ar tādu lietotāju kurš ir apliecinājis objekta īpašuma, lietošanas vai valdījuma tiesības nav pietiekami skaidrots un pamatots noteikumu projekta anotācijā. Latvenergo ieskatā šāds nosacījums procesuāls šķērslis elektroenerģijas tirdzniecības pakalpojumiem, kura ieviešanai jāvelta resursi un sistēmu izstrādes, kā arī lietotājiem tas neveicina vieglu pakalpojumu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 tirdzniecības intervāls – nākamās dienas tirgus intervāla 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anotāciju ar skaidrojumu par tirdzniecības intervālā regulējumu un sagaidāmajām izmaiņām. Šobrīd anotācijas projekts satur informāciju par balansēšanas tirgus regulējuma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tirgotājiem šobrīd ir spēkā esoši tirdzniecības līgumi, kuros tirdzniecības pakalpojums un elektroenerģijas cena tiek noteikta stundas intervāla ietvaros, un šis formulējums ir iekļauts pakalpojumu līgumu tekstā un to var uzskatīt par līguma būtisko sastāvdaļu, aicinām papildināt noteikumu projekta pārejas noteikumus ar jaunu punktu, kas nosaka, </w:t>
            </w:r>
            <w:r w:rsidR="00000000" w:rsidRPr="00000000" w:rsidDel="00000000">
              <w:rPr>
                <w:rtl w:val="0"/>
              </w:rPr>
              <w:t xml:space="preserve">tirgotājs drīkst pielietot jauno intervāla regulējumu bez jau noslēgto līgumu grozījumiem/pārslēgšanas.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Bunkovskis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24-TA-801</w:t>
    </w:r>
    <w:r>
      <w:br/>
    </w:r>
    <w:r w:rsidR="00000000" w:rsidRPr="00000000" w:rsidDel="00000000">
      <w:rPr>
        <w:rtl w:val="0"/>
      </w:rPr>
      <w:t xml:space="preserve">Izdrukāts 30.08.2024.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24-TA-801</w:t>
    </w:r>
    <w:r>
      <w:br/>
    </w:r>
    <w:r w:rsidR="00000000" w:rsidRPr="00000000" w:rsidDel="00000000">
      <w:rPr>
        <w:rtl w:val="0"/>
      </w:rPr>
      <w:t xml:space="preserve">Izdrukāts 30.08.2024.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Atzinumi_24-TA-801.docx</dc:title>
</cp:coreProperties>
</file>

<file path=docProps/custom.xml><?xml version="1.0" encoding="utf-8"?>
<Properties xmlns="http://schemas.openxmlformats.org/officeDocument/2006/custom-properties" xmlns:vt="http://schemas.openxmlformats.org/officeDocument/2006/docPropsVTypes"/>
</file>