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1FB" w:rsidP="006551FB" w:rsidRDefault="006551FB">
      <w:pPr>
        <w:outlineLvl w:val="0"/>
        <w:rPr>
          <w:lang w:val="en-US"/>
        </w:rPr>
      </w:pPr>
      <w:r>
        <w:rPr>
          <w:b/>
          <w:bCs/>
          <w:lang w:val="en-US"/>
        </w:rPr>
        <w:t>From:</w:t>
      </w:r>
      <w:r>
        <w:rPr>
          <w:lang w:val="en-US"/>
        </w:rPr>
        <w:t xml:space="preserve"> </w:t>
      </w:r>
      <w:proofErr w:type="spellStart"/>
      <w:r>
        <w:rPr>
          <w:lang w:val="en-US"/>
        </w:rPr>
        <w:t>Viesturs</w:t>
      </w:r>
      <w:proofErr w:type="spellEnd"/>
      <w:r>
        <w:rPr>
          <w:lang w:val="en-US"/>
        </w:rPr>
        <w:t xml:space="preserve"> </w:t>
      </w:r>
      <w:proofErr w:type="spellStart"/>
      <w:r>
        <w:rPr>
          <w:lang w:val="en-US"/>
        </w:rPr>
        <w:t>Blūmentāls</w:t>
      </w:r>
      <w:proofErr w:type="spellEnd"/>
      <w:r>
        <w:rPr>
          <w:lang w:val="en-US"/>
        </w:rPr>
        <w:t xml:space="preserve"> &lt;</w:t>
      </w:r>
      <w:hyperlink w:history="1" r:id="rId4">
        <w:r>
          <w:rPr>
            <w:rStyle w:val="Hyperlink"/>
            <w:lang w:val="en-US"/>
          </w:rPr>
          <w:t>Viesturs.Blumentals@tm.gov.lv</w:t>
        </w:r>
      </w:hyperlink>
      <w:r>
        <w:rPr>
          <w:lang w:val="en-US"/>
        </w:rPr>
        <w:t xml:space="preserve">&gt; </w:t>
      </w:r>
      <w:r>
        <w:rPr>
          <w:lang w:val="en-US"/>
        </w:rPr>
        <w:br/>
      </w:r>
      <w:r>
        <w:rPr>
          <w:b/>
          <w:bCs/>
          <w:lang w:val="en-US"/>
        </w:rPr>
        <w:t>Sent:</w:t>
      </w:r>
      <w:r>
        <w:rPr>
          <w:lang w:val="en-US"/>
        </w:rPr>
        <w:t xml:space="preserve"> Monday, December 28, 2020 5:51 PM</w:t>
      </w:r>
      <w:r>
        <w:rPr>
          <w:lang w:val="en-US"/>
        </w:rPr>
        <w:br/>
      </w:r>
      <w:r>
        <w:rPr>
          <w:b/>
          <w:bCs/>
          <w:lang w:val="en-US"/>
        </w:rPr>
        <w:t>To:</w:t>
      </w:r>
      <w:r>
        <w:rPr>
          <w:lang w:val="en-US"/>
        </w:rPr>
        <w:t xml:space="preserve"> </w:t>
      </w:r>
      <w:proofErr w:type="spellStart"/>
      <w:r>
        <w:rPr>
          <w:lang w:val="en-US"/>
        </w:rPr>
        <w:t>Satiksmes</w:t>
      </w:r>
      <w:proofErr w:type="spellEnd"/>
      <w:r>
        <w:rPr>
          <w:lang w:val="en-US"/>
        </w:rPr>
        <w:t xml:space="preserve"> </w:t>
      </w:r>
      <w:proofErr w:type="spellStart"/>
      <w:r>
        <w:rPr>
          <w:lang w:val="en-US"/>
        </w:rPr>
        <w:t>ministrija</w:t>
      </w:r>
      <w:proofErr w:type="spellEnd"/>
      <w:r>
        <w:rPr>
          <w:lang w:val="en-US"/>
        </w:rPr>
        <w:t xml:space="preserve"> &lt;</w:t>
      </w:r>
      <w:hyperlink w:history="1" r:id="rId5">
        <w:r>
          <w:rPr>
            <w:rStyle w:val="Hyperlink"/>
            <w:lang w:val="en-US"/>
          </w:rPr>
          <w:t>satiksmes.ministrija@sam.gov.lv</w:t>
        </w:r>
      </w:hyperlink>
      <w:r>
        <w:rPr>
          <w:lang w:val="en-US"/>
        </w:rPr>
        <w:t>&gt;</w:t>
      </w:r>
      <w:r>
        <w:rPr>
          <w:lang w:val="en-US"/>
        </w:rPr>
        <w:br/>
      </w:r>
      <w:r>
        <w:rPr>
          <w:b/>
          <w:bCs/>
          <w:lang w:val="en-US"/>
        </w:rPr>
        <w:t>Cc:</w:t>
      </w:r>
      <w:r>
        <w:rPr>
          <w:lang w:val="en-US"/>
        </w:rPr>
        <w:t xml:space="preserve"> Elita </w:t>
      </w:r>
      <w:proofErr w:type="spellStart"/>
      <w:r>
        <w:rPr>
          <w:lang w:val="en-US"/>
        </w:rPr>
        <w:t>Birjukovska</w:t>
      </w:r>
      <w:proofErr w:type="spellEnd"/>
      <w:r>
        <w:rPr>
          <w:lang w:val="en-US"/>
        </w:rPr>
        <w:t xml:space="preserve"> &lt;</w:t>
      </w:r>
      <w:hyperlink w:history="1" r:id="rId6">
        <w:r>
          <w:rPr>
            <w:rStyle w:val="Hyperlink"/>
            <w:lang w:val="en-US"/>
          </w:rPr>
          <w:t>Elita.Birjukovska@sam.gov.lv</w:t>
        </w:r>
      </w:hyperlink>
      <w:r>
        <w:rPr>
          <w:lang w:val="en-US"/>
        </w:rPr>
        <w:t xml:space="preserve">&gt;; Linda </w:t>
      </w:r>
      <w:proofErr w:type="spellStart"/>
      <w:r>
        <w:rPr>
          <w:lang w:val="en-US"/>
        </w:rPr>
        <w:t>Upīte</w:t>
      </w:r>
      <w:proofErr w:type="spellEnd"/>
      <w:r>
        <w:rPr>
          <w:lang w:val="en-US"/>
        </w:rPr>
        <w:t xml:space="preserve"> &lt;</w:t>
      </w:r>
      <w:hyperlink w:history="1" r:id="rId7">
        <w:r>
          <w:rPr>
            <w:rStyle w:val="Hyperlink"/>
            <w:lang w:val="en-US"/>
          </w:rPr>
          <w:t>Linda.Upite@tm.gov.lv</w:t>
        </w:r>
      </w:hyperlink>
      <w:r>
        <w:rPr>
          <w:lang w:val="en-US"/>
        </w:rPr>
        <w:t xml:space="preserve">&gt;; Ilze </w:t>
      </w:r>
      <w:proofErr w:type="spellStart"/>
      <w:r>
        <w:rPr>
          <w:lang w:val="en-US"/>
        </w:rPr>
        <w:t>Štrassere</w:t>
      </w:r>
      <w:proofErr w:type="spellEnd"/>
      <w:r>
        <w:rPr>
          <w:lang w:val="en-US"/>
        </w:rPr>
        <w:t xml:space="preserve"> &lt;</w:t>
      </w:r>
      <w:hyperlink w:history="1" r:id="rId8">
        <w:r>
          <w:rPr>
            <w:rStyle w:val="Hyperlink"/>
            <w:lang w:val="en-US"/>
          </w:rPr>
          <w:t>Ilze.Strassere@tm.gov.lv</w:t>
        </w:r>
      </w:hyperlink>
      <w:r>
        <w:rPr>
          <w:lang w:val="en-US"/>
        </w:rPr>
        <w:t xml:space="preserve">&gt;; </w:t>
      </w:r>
      <w:proofErr w:type="spellStart"/>
      <w:r>
        <w:rPr>
          <w:lang w:val="en-US"/>
        </w:rPr>
        <w:t>Elīna</w:t>
      </w:r>
      <w:proofErr w:type="spellEnd"/>
      <w:r>
        <w:rPr>
          <w:lang w:val="en-US"/>
        </w:rPr>
        <w:t xml:space="preserve"> </w:t>
      </w:r>
      <w:proofErr w:type="spellStart"/>
      <w:r>
        <w:rPr>
          <w:lang w:val="en-US"/>
        </w:rPr>
        <w:t>Zivtiņa</w:t>
      </w:r>
      <w:proofErr w:type="spellEnd"/>
      <w:r>
        <w:rPr>
          <w:lang w:val="en-US"/>
        </w:rPr>
        <w:t xml:space="preserve"> &lt;</w:t>
      </w:r>
      <w:hyperlink w:history="1" r:id="rId9">
        <w:r>
          <w:rPr>
            <w:rStyle w:val="Hyperlink"/>
            <w:lang w:val="en-US"/>
          </w:rPr>
          <w:t>Elina.Zivtina@tm.gov.lv</w:t>
        </w:r>
      </w:hyperlink>
      <w:r>
        <w:rPr>
          <w:lang w:val="en-US"/>
        </w:rPr>
        <w:t>&gt;</w:t>
      </w:r>
      <w:r>
        <w:rPr>
          <w:lang w:val="en-US"/>
        </w:rPr>
        <w:br/>
      </w:r>
      <w:r>
        <w:rPr>
          <w:b/>
          <w:bCs/>
          <w:lang w:val="en-US"/>
        </w:rPr>
        <w:t>Subject:</w:t>
      </w:r>
      <w:r>
        <w:rPr>
          <w:lang w:val="en-US"/>
        </w:rPr>
        <w:t xml:space="preserve"> </w:t>
      </w:r>
      <w:proofErr w:type="spellStart"/>
      <w:r>
        <w:rPr>
          <w:lang w:val="en-US"/>
        </w:rPr>
        <w:t>Atb</w:t>
      </w:r>
      <w:proofErr w:type="spellEnd"/>
      <w:r>
        <w:rPr>
          <w:lang w:val="en-US"/>
        </w:rPr>
        <w:t xml:space="preserve">.: Par </w:t>
      </w:r>
      <w:proofErr w:type="spellStart"/>
      <w:r>
        <w:rPr>
          <w:lang w:val="en-US"/>
        </w:rPr>
        <w:t>likumprojekta</w:t>
      </w:r>
      <w:proofErr w:type="spellEnd"/>
      <w:r>
        <w:rPr>
          <w:lang w:val="en-US"/>
        </w:rPr>
        <w:t xml:space="preserve"> (ESL) </w:t>
      </w:r>
      <w:proofErr w:type="spellStart"/>
      <w:r>
        <w:rPr>
          <w:lang w:val="en-US"/>
        </w:rPr>
        <w:t>saskaņošanu</w:t>
      </w:r>
      <w:proofErr w:type="spellEnd"/>
    </w:p>
    <w:p w:rsidR="006551FB" w:rsidP="006551FB" w:rsidRDefault="006551FB"/>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Labdien,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Tieslietu ministrija ir izskatījusi Satiksmes ministrijas sagatavoto precizēto likumprojektu “Elektronisko sakaru likums” (turpmāk - likumprojekts) un tā anotāciju un atbalsta to tālāku virzību, izsakot šādus iebildumus: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Atbilstoši juridiskās tehnikas prasībām terminu nebūtu jāskaidro likumprojekta sākumā, ja tas tekstā lietots tikai vienu vai divas reizes, tāpat nebūtu jāsniedz terminu skaidrojumi, ja attiecīgi skaidrojumi vienlaikus sniegti arī likumprojekta tekstā. Norādām, ka terminu, kura izpratne ir svarīga atsevišķā teksta daļā, izņēmuma gadījumā var skaidrot tekstā, izvēloties attiecīgajam kontekstam piemērotu skaidrojuma veidu. Ievērojot minēto, lūdzam pārskatīt un precizēt likumprojekta 1. pantā ietvertos terminu skaidrojumus, lai nodrošinātu, ka tie visos gadījumos ir nepieciešami un katram no tiem ir nozīme likumprojekta tekstā lietoto attiecīgo terminu izpratnes robežu noteikšanā, jo īpaši ņemot vērā likumprojektā atrunāto terminu ievērojamo daudzumu, vai alternatīvi terminu skaidrojumus izslēgt. Piemēram, norādām, ka šobrīd termins "ārkārtas gadījuma saziņa" (likumprojektā lietots termins ārkārtas gadījumu saziņa), </w:t>
      </w:r>
      <w:proofErr w:type="spellStart"/>
      <w:r>
        <w:rPr>
          <w:rFonts w:ascii="Times New Roman" w:hAnsi="Times New Roman" w:cs="Times New Roman"/>
          <w:color w:val="000000"/>
          <w:sz w:val="24"/>
          <w:szCs w:val="24"/>
        </w:rPr>
        <w:t>Transeiropas</w:t>
      </w:r>
      <w:proofErr w:type="spellEnd"/>
      <w:r>
        <w:rPr>
          <w:rFonts w:ascii="Times New Roman" w:hAnsi="Times New Roman" w:cs="Times New Roman"/>
          <w:color w:val="000000"/>
          <w:sz w:val="24"/>
          <w:szCs w:val="24"/>
        </w:rPr>
        <w:t xml:space="preserve"> telemātikas pakalpojumi starp administrācijām (TESTA) lietots tikai vienu reizi, termins "transnacionāli tirgi" skaidrots arī likumprojekta tekstā, tāpat arī , piemēram, nav saprotama nepieciešamība skaidrot jēdzienu "citas saistības", ņemot vērā, ka šis termins nepieciešamības gadījumā var tikt atrunāts likumprojekta tekstā.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 Likumprojekta 4. panta trešā daļa noteic, ka Satiksmes ministrija likumprojekta 4. panta otrajā daļā minētās funkcijas var deleģēt. Ministru kabineta 2009. gada 3. februāra noteikumu Nr. 108 "Normatīvo aktu projektu sagatavošanas noteikumi" (turpmāk – noteikumi Nr. 108) 3.1. apakšpunkts paredz, ka normatīvā akta projektā neietver deklaratīvas normas. Valsts pārvaldes iekārtas likuma V nodaļa paredz kārtību, kādā var tikt deleģēti valsts pārvaldes uzdevumi, līdz ar to likumprojekta 4. panta trešā daļa ir deklaratīva. Ņemot vērā minēto, lūdzam likumprojekta 4. panta otrajā daļā norādīt, kam var tikt deleģēti pārvaldes uzdevumi (piemēram, privātpersonai, citai publiskai personai).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Vienlaikus, ja deleģēt pārvaldes uzdevumus paredzēts privātpersonai, lūdzam: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 skaidri norādīt, vai privātpersonai var tikt deleģēta administratīvo aktu izdošana;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 izvērtēt un likumprojekta anotācijā sniegt skaidrojumu par pārvaldes uzdevumu, kas izriet no Satiksmes ministrijas 4. panta otrās daļas 1. un 2. punktā minētajām funkcijām, būtību un mērķi, un attiecīgā deleģēšanas priekšmeta atbilstību Valsts pārvaldes iekārtas likuma 41. panta otrajai un trešajai daļai. Vēršam uzmanību, kā atzīts juridiskajā literatūrā, regulējuma mērķis par to, kādus valsts pārvaldes uzdevumus nedrīkst deleģēt vispār, ir nodrošināt to, lai publiska persona vispār spētu patstāvīgi darboties savas kompetences ietvaros, jo nododot kādu no šiem (Valsts pārvaldes iekārtas likuma 41. panta otrajā daļā noteiktajiem) uzdevumiem citai personai, publiska persona faktiski nonāktu vismaz daļējā šīs personas kontrolē. Savukārt regulējums par to, kādus uzdevumus nedrīkst deleģēt privātpersonām vairāk </w:t>
      </w:r>
      <w:r>
        <w:rPr>
          <w:rFonts w:ascii="Times New Roman" w:hAnsi="Times New Roman" w:cs="Times New Roman"/>
          <w:color w:val="000000"/>
          <w:sz w:val="24"/>
          <w:szCs w:val="24"/>
        </w:rPr>
        <w:lastRenderedPageBreak/>
        <w:t>ir saistīts ar ideju, ka noteiktus uzdevumus drīkst veikt tikai publiskas personas (</w:t>
      </w:r>
      <w:r>
        <w:rPr>
          <w:rFonts w:ascii="Times New Roman" w:hAnsi="Times New Roman" w:cs="Times New Roman"/>
          <w:i/>
          <w:iCs/>
          <w:color w:val="000000"/>
          <w:sz w:val="24"/>
          <w:szCs w:val="24"/>
        </w:rPr>
        <w:t>J. Briede, E. </w:t>
      </w:r>
      <w:proofErr w:type="spellStart"/>
      <w:r>
        <w:rPr>
          <w:rFonts w:ascii="Times New Roman" w:hAnsi="Times New Roman" w:cs="Times New Roman"/>
          <w:i/>
          <w:iCs/>
          <w:color w:val="000000"/>
          <w:sz w:val="24"/>
          <w:szCs w:val="24"/>
        </w:rPr>
        <w:t>Danovskis</w:t>
      </w:r>
      <w:proofErr w:type="spellEnd"/>
      <w:r>
        <w:rPr>
          <w:rFonts w:ascii="Times New Roman" w:hAnsi="Times New Roman" w:cs="Times New Roman"/>
          <w:i/>
          <w:iCs/>
          <w:color w:val="000000"/>
          <w:sz w:val="24"/>
          <w:szCs w:val="24"/>
        </w:rPr>
        <w:t>, A. Kovaļevska. Administratīvās tiesības. Mācību grāmata. Rīga: Tiesu namu aģentūra, 2016, 125.</w:t>
      </w:r>
      <w:r>
        <w:rPr>
          <w:rFonts w:ascii="Times New Roman" w:hAnsi="Times New Roman" w:cs="Times New Roman"/>
          <w:color w:val="000000"/>
          <w:sz w:val="24"/>
          <w:szCs w:val="24"/>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Kā arī lūdzam precizēt likumprojekta 4. panta trešo daļu, jo deleģēti var tikt valsts pārvaldes uzdevumi, nevis funkcijas.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3. Likumprojekta 7. panta otrās daļas pirmais teikums paredz, ka Regulators atbilstoši likumprojektā noteiktajai kompetencei patstāvīgi pieņem lēmumus un izdod administratīvos aktus, kas ir saistoši konkrētiem elektronisko sakaru komersantiem un galalietotājiem. Noteikumu Nr. 108 3.2. apakšpunkts paredz, ka normatīvā akta projektā neietver normas, kas dublē augstāka vai tāda paša spēka normatīvā akta tiesību normās ietverto normatīvo regulējumu. Vēršam uzmanību, ka likumprojekta 7. panta otrās daļas pirmais teikums dublē likuma "Par sabiedrisko pakalpojumu regulatoriem" 6. panta otrajā daļā un 9. panta otrajā daļā noteikto, līdz ar to atkārtoti lūdzam to izslēgt vai precizēt.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4. Noteikumu Nr. 108 59. punkts noteic, ka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w:t>
      </w:r>
      <w:proofErr w:type="spellStart"/>
      <w:r>
        <w:rPr>
          <w:rFonts w:ascii="Times New Roman" w:hAnsi="Times New Roman" w:cs="Times New Roman"/>
          <w:color w:val="000000"/>
          <w:sz w:val="24"/>
          <w:szCs w:val="24"/>
        </w:rPr>
        <w:t>soft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law</w:t>
      </w:r>
      <w:proofErr w:type="spellEnd"/>
      <w:r>
        <w:rPr>
          <w:rFonts w:ascii="Times New Roman" w:hAnsi="Times New Roman" w:cs="Times New Roman"/>
          <w:color w:val="000000"/>
          <w:sz w:val="24"/>
          <w:szCs w:val="24"/>
        </w:rPr>
        <w:t xml:space="preserve">"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 (jo, piemēram, neskatoties uz to, ka ieteikumi un atzinumi nav obligāti jāpārņem nacionālajos normatīvajos aktos, tomēr atbilstoši Eiropas Savienības Tiesas praksei nacionālajām tiesām ir pienākumus interpretēt nacionālos tiesību aktus atbilstoši ieteikumiem un atzinumiem; sk. Eiropas Savienības Tiesas spriedumu lietā C-322/88 “Salvatore </w:t>
      </w:r>
      <w:proofErr w:type="spellStart"/>
      <w:r>
        <w:rPr>
          <w:rFonts w:ascii="Times New Roman" w:hAnsi="Times New Roman" w:cs="Times New Roman"/>
          <w:color w:val="000000"/>
          <w:sz w:val="24"/>
          <w:szCs w:val="24"/>
        </w:rPr>
        <w:t>Grimaldi</w:t>
      </w:r>
      <w:proofErr w:type="spellEnd"/>
      <w:r>
        <w:rPr>
          <w:rFonts w:ascii="Times New Roman" w:hAnsi="Times New Roman" w:cs="Times New Roman"/>
          <w:color w:val="000000"/>
          <w:sz w:val="24"/>
          <w:szCs w:val="24"/>
        </w:rPr>
        <w:t xml:space="preserve"> v Fonds </w:t>
      </w:r>
      <w:proofErr w:type="spellStart"/>
      <w:r>
        <w:rPr>
          <w:rFonts w:ascii="Times New Roman" w:hAnsi="Times New Roman" w:cs="Times New Roman"/>
          <w:color w:val="000000"/>
          <w:sz w:val="24"/>
          <w:szCs w:val="24"/>
        </w:rPr>
        <w:t>des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maladies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professionnelles</w:t>
      </w:r>
      <w:proofErr w:type="spellEnd"/>
      <w:r>
        <w:rPr>
          <w:rFonts w:ascii="Times New Roman" w:hAnsi="Times New Roman" w:cs="Times New Roman"/>
          <w:color w:val="000000"/>
          <w:sz w:val="24"/>
          <w:szCs w:val="24"/>
        </w:rPr>
        <w:t>”, 18. §.). Ņemot vērā minēto, atkārtoti lūdzam likumprojekta 7. panta otrās daļas otrajā teikumā un 11. panta otrajā daļā izslēgt atsauces uz nesaistošajiem starptautiskajiem dokumentiem.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 Likumprojekta 7. panta ceturtajā daļā paredzēts Sabiedrisko pakalpojumu regulēšanas komisijas (turpmāk - Regulators) pienākums informēt elektronisko sakaru komersantu par tā sniegtās informācijas sniegšanu Eiropas Komisijai. Likumprojekta 8. panta 1. punktā paredzētas Regulatora tiesības pieprasīt un Regulatora noteiktajā termiņā netraucēti bez maksas saņemt informāciju no personām, kas darbojas elektronisko sakaru nozarē vai saistītā nozarē. Saistībā ar minēto atkārtoti lūdzam izvērtēt, vai attiecīgs Regulatora pienākums, kas izriet no 7. panta ceturtās daļas nebūtu attiecināms arī uz personām, kas darbojas elektronisko sakaru nozarē vai saistītā nozarē, kurām arī ir attiecīgi pienākums sniegt informāciju Regulatoram, uz ko norāda arī Eiropas Parlamenta un Padomes 2018.gada 11.decembra direktīvas 2018/1972 par Eiropas Elektronisko sakaru kodeksa izveidi (turpmāk – direktīva Nr. 2018/1972) 20. panta 2. punkta regulējuma formulējums. Nepieciešamības gadījumā lūdzam precizēt likumprojektu.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 Vēršam uzmanību, ka likumprojekta 7. panta ceturtajā daļā ir nepieciešams precizēt, kāda veida informāciju (datus), kas pieejami Regulatora rīcībā, var nodot Eiropas Komisijai, BEREC un citu Eiropas Savienības dalībvalstu regulatoriem. </w:t>
      </w:r>
      <w:r>
        <w:rPr>
          <w:rFonts w:ascii="Times New Roman" w:hAnsi="Times New Roman" w:cs="Times New Roman"/>
          <w:color w:val="000000"/>
          <w:sz w:val="24"/>
          <w:szCs w:val="24"/>
        </w:rPr>
        <w:lastRenderedPageBreak/>
        <w:t>Iebilstam, ka Valsts zemes dienesta adrešu dati, kas ir Regulatora rīcībā, var tikt nodoti Eiropas Komisijai, BEREC un citu Eiropas Savienības dalībvalstu regulatoriem, jo, ja minētās institūcijas vēlas šādus datus saņemt, tām būtu jāvēršas nepastarpināti pie Valsts zemes dienesta kā pie institūcijas, kas ir valsts informācijas sistēmas, kas uzkrāj šos datus, pārzinis. Norādām, ka likumprojekta anotācijā nav iekļauta informācija par minēto datu nodošanu un pamatojums šādu datu nodošanas nepieciešamībai. Arī, noslēdzot 2020. gada 3. jūnija Valsts zemes dienesta un Regulatora līgumu "Par sadarbību Valsts adrešu datu sniegšanā" Nr. 6-06/7 (Regulatora līguma Nr. 1/2020), Regulators neminēja, ka Valsts zemes dienesta adrešu datus plānots izsniegt trešajām personām.</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 Lūdzam likumprojekta 9. pantā, kur norādīti konkrēti gadījumi, kad bez Regulatora novērtējuma brīvības ir jāveic publiskās konsultācijas, izsmeļoši arī uzskaitīt visus šos gadījumus vai, ja to praktiski ir apgrūtinoši vai nelietderīgi veikt, tad attiecīgi likumprojektā ietvert atsauci uz citiem šajā likumā ietvertiem gadījumiem, tādējādi novēršot iespējamas pretrunas. Norādām, ka, piemēram, arī likumprojekta 64. un 65. pantā, uz ko nav norādīts likumprojekta 9. panta pirmajā un otrajā daļā, paredzēta publisko konsultāciju veikšana.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Tāpat līdzīgi lūdzam arī likumprojekta 10. pantā izsmeļoši uzskaitīt visus gadījumus, kad veicamas konsultācijas Eiropas Savienības līmenī (sk., piemēram, likumprojekta 83. un 87. pantu, kur paredzēta attiecīgu konsultāciju veikšana).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 Vēršam uzmanību, ka izziņā norādīts, ka saistībā ar Tieslietu ministrijas iebildumu likumprojekta 11. panta trešajā daļā izslēgti vārdi “sociālekonomiskajiem virzītājspēkiem", tomēr, aplūkojot likumprojektu, secināms, ka nav veiktas attiecīgās darbības un minētais regulējums ir saglabāts. Attiecīgi lūdzam atbilstoši precizēt likumprojektu.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9. Atkārtoti lūdzam likumprojekta 11. panta ceturtajā daļā izslēgt vārdus "no Valsts zemes dienesta saņemt augstas detalizācijas topogrāfisko informāciju par elektronisko sakaru tīklu ģeogrāfisko pieejamību". Norādām, ka Valsts zemes dienests atbilstoši Ģeotelpiskās informācijas likuma 13. panta ceturtajai daļai uzkrāj augstas detalizācijas topogrāfisko informāciju par visu valsts teritoriju Augstas detalizācijas topogrāfiskās informācijas centrālajā datubāzē un ir Augstas detalizācijas topogrāfiskās informācijas centrālās datubāzes pārzinis. Saskaņā ar Ģeotelpiskās informācijas likuma 26. panta septītajā daļā minēto Valsts zemes dienestam Augstas detalizācijas topogrāfiskās informācijas centrālās datubāzes uzturēšanai nav piešķirti finanšu līdzekļi, līdz ar to augstas detalizācijas topogrāfisko informāciju Valsts zemes dienests var sniegt kā maksas pakalpojumu saskaņā ar Ministru kabineta 2015. gada 22. decembra noteikumiem Nr. 787 "Valsts zemes dienesta maksas pakalpojumu cenrādis un samaksas kārtība”.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Kā arī lūdzam izslēgt no likumprojekta 11. panta ceturtās daļas vārdus "un piekļūt adrešu reģistra datiem". Ņemot vērā, ka likumprojektā nav skaidrots platjoslas pieejamības ģeogrāfiskās sistēmas datu apjoms un veicamās procedūras, nav saprotama Valsts adrešu reģistra informācijas sistēmas datu izmantošanas nepieciešamība un izmantošanas veids, attiecīgi uzskatām, ka ir pamats iebilst pret Valsts adrešu reģistra informācijas sistēmas datu izmantošanu.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10. Lūdzam precizēt likumprojekta 16. panta trešo un ceturto daļu, norādot, ka attiecīgie pienākumi elektronisko sakaru komersantam tiek noteikti papildus šā panta otrajā daļā paredzētajiem pienākumiem, pretējā gadījumā nav skaidri saprotams konkrēto elektronisko sakaru komersantu pienākumu saturs.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Norādām, ka atbilstoši juridiskās tehnikas prasībām tiesību normai ir jābūt skaidrai, lai tās lietotājs un piemērotājs gūtu nepārprotamu priekšstatu par saviem pienākumiem un tiesībām.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11. Vēršam uzmanību, ka saskaņošanas ietvaros likumprojekta 27. panta pirmās daļas otrais teikums ir papildināts ar vārdiem "vai atbilstoši normatīvajiem aktiem iekļauts Apgrūtināto teritoriju informācijas sistēmā". Saistībā ar minēto vēršam uzmanību, ka saskaņā ar Ministru kabineta 2014. gada 19. augusta noteikumu Nr. 501 "Elektronisko sakaru tīklu ierīkošanas, būvniecības un uzraudzības kārtība" 41.</w:t>
      </w:r>
      <w:r>
        <w:rPr>
          <w:rFonts w:ascii="Times New Roman" w:hAnsi="Times New Roman" w:cs="Times New Roman"/>
          <w:color w:val="000000"/>
          <w:sz w:val="24"/>
          <w:szCs w:val="24"/>
          <w:vertAlign w:val="superscript"/>
        </w:rPr>
        <w:t>15</w:t>
      </w:r>
      <w:r>
        <w:rPr>
          <w:rFonts w:ascii="Times New Roman" w:hAnsi="Times New Roman" w:cs="Times New Roman"/>
          <w:color w:val="000000"/>
          <w:sz w:val="24"/>
          <w:szCs w:val="24"/>
        </w:rPr>
        <w:t> punktu elektronisko sakaru tīkls vai inženierbūve ir uzskatāma par pieņemtu ekspluatācijā ar dienu, kad būvvalde būvniecības informācijas sistēmā ir izdarījusi atzīmi par būvdarbu pabeigšanu. Brīdī, kad būvvalde būvniecības informācijas sistēmā ir izdarījusi atzīmi par būvdarbu pabeigšanu, spēkā stājas aprobežojums elektronisko sakaru tīklam. Apgrūtināto teritoriju informācijas sistēma ir valsts informācijas sistēma, kurā iekļauj datus par apgrūtinātajām teritorijām un to robežām un objektiem un to robežām, to nosaka Apgrūtināto teritoriju informācijas sistēmas likuma 3. panta pirmā daļa. Datu iekļaušana Apgrūtināto teritoriju informācijas sistēmā nav saistīta ar datos minēto apgrūtinājumu spēkā esamību, tie ir spēkā neatkarīgi no iekļaušanas Apgrūtināto teritoriju informācijas sistēmā. Apgrūtināto teritoriju informācijas sistēmā nav iespējams izdarīt atzīmi par būvdarbu pabeigšanu, kas ir pamatojums, lai elektronisko sakaru tīkla aprobežojumi stātos spēkā. Līdz ar to likumprojekta 27. panta pirmās daļas otro teikumu nepieciešams atstāt iepriekšējā redakcijā – šis aprobežojums ir spēkā no dienas, kad attiecīgais elektronisko sakaru tīkls nodots ekspluatācijā. Attiecīgi lūdzam atbilstoši precizēt likumprojektu.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12. Lūdzam precizēt likumprojekta 32. panta otro daļu, jo nav skaidrs, kas saprotams ar terminu “uzņēmējdarbības </w:t>
      </w:r>
      <w:r>
        <w:rPr>
          <w:rFonts w:ascii="Times New Roman" w:hAnsi="Times New Roman" w:cs="Times New Roman"/>
          <w:color w:val="000000"/>
          <w:sz w:val="24"/>
          <w:szCs w:val="24"/>
          <w:u w:val="single"/>
        </w:rPr>
        <w:t>grupa</w:t>
      </w:r>
      <w:r>
        <w:rPr>
          <w:rFonts w:ascii="Times New Roman" w:hAnsi="Times New Roman" w:cs="Times New Roman"/>
          <w:color w:val="000000"/>
          <w:sz w:val="24"/>
          <w:szCs w:val="24"/>
        </w:rPr>
        <w:t>”</w:t>
      </w:r>
      <w:r>
        <w:rPr>
          <w:rFonts w:ascii="Times New Roman" w:hAnsi="Times New Roman" w:cs="Times New Roman"/>
          <w:color w:val="000000"/>
          <w:sz w:val="25"/>
          <w:szCs w:val="25"/>
          <w:lang w:eastAsia="en-US"/>
        </w:rPr>
        <w:t xml:space="preserve"> (piemērotāks apzīmējums vārda "uzņēmējdarbība" vietā varētu būt termins "saimnieciskā darbība" vai "komercdarbība", ņemot vērā, ka saskaņā ar Komerclikuma 18. pantu termins "uzņēmums" apzīmē organizatoriski saimniecisku vienību (objektu) un nevis komercdarbības vai saimnieciskās darbības subjektu)</w:t>
      </w:r>
      <w:r>
        <w:rPr>
          <w:rFonts w:ascii="Times New Roman" w:hAnsi="Times New Roman" w:cs="Times New Roman"/>
          <w:color w:val="000000"/>
          <w:sz w:val="24"/>
          <w:szCs w:val="24"/>
        </w:rPr>
        <w:t xml:space="preserve">. Norādām, ka </w:t>
      </w:r>
      <w:proofErr w:type="spellStart"/>
      <w:r>
        <w:rPr>
          <w:rFonts w:ascii="Times New Roman" w:hAnsi="Times New Roman" w:cs="Times New Roman"/>
          <w:color w:val="000000"/>
          <w:sz w:val="24"/>
          <w:szCs w:val="24"/>
        </w:rPr>
        <w:t>mikrosabiedrība</w:t>
      </w:r>
      <w:proofErr w:type="spellEnd"/>
      <w:r>
        <w:rPr>
          <w:rFonts w:ascii="Times New Roman" w:hAnsi="Times New Roman" w:cs="Times New Roman"/>
          <w:color w:val="000000"/>
          <w:sz w:val="24"/>
          <w:szCs w:val="24"/>
        </w:rPr>
        <w:t xml:space="preserve"> un maza sabiedrība atbilstoši Gada pārskatu un konsolidēto gada pārskatu likumam ir sabiedrības, kā arī ir apšaubāms, vai nodibinājumu un biedrību ir pamats atzīt par piederīgu noteiktām uzņēmējdarbības grupām.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13. Lūdzam pārskatīt un precizēt likumprojekta numerāciju. Norādām, ka šobrīd likumprojektam ir divas 33. panta piektās daļas, ko lūdzam ņemt vērā un nepieciešamības gadījumā precizēt arī likumprojekta anotāciju.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14. Tiesiskās noteiktības nolūkā lūdzam likumprojekta anotācijā skaidrot, kā atbilstoši likumprojekta 36. panta pirmajai daļai interneta piekļuves pakalpojuma sniedzējam un </w:t>
      </w:r>
      <w:proofErr w:type="spellStart"/>
      <w:r>
        <w:rPr>
          <w:rFonts w:ascii="Times New Roman" w:hAnsi="Times New Roman" w:cs="Times New Roman"/>
          <w:color w:val="000000"/>
          <w:sz w:val="24"/>
          <w:szCs w:val="24"/>
        </w:rPr>
        <w:t>starppersonu</w:t>
      </w:r>
      <w:proofErr w:type="spellEnd"/>
      <w:r>
        <w:rPr>
          <w:rFonts w:ascii="Times New Roman" w:hAnsi="Times New Roman" w:cs="Times New Roman"/>
          <w:color w:val="000000"/>
          <w:sz w:val="24"/>
          <w:szCs w:val="24"/>
        </w:rPr>
        <w:t xml:space="preserve"> sakaru pakalpojumu sniedzējam jāpublisko un jāatjaunina Regulatora noteiktā informācija, piemēram, sniedzot piemērus, kad attiecīgs pienākums tiks uzskatīts par izpildītu (proti, attiecībā uz formātu, kas ir pieejams galalietotājiem ar invaliditāti, kā arī regularitāti, kas kā pazīmes ir subjektīvas).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Tāpat līdzīgi lūdzam likumprojekta anotācijā skaidrot, kā atbilstoši likumprojekta 34. panta otrajai daļai izpaužas “viegla” </w:t>
      </w:r>
      <w:proofErr w:type="spellStart"/>
      <w:r>
        <w:rPr>
          <w:rFonts w:ascii="Times New Roman" w:hAnsi="Times New Roman" w:cs="Times New Roman"/>
          <w:color w:val="000000"/>
          <w:sz w:val="24"/>
          <w:szCs w:val="24"/>
        </w:rPr>
        <w:t>lejuplādēšana</w:t>
      </w:r>
      <w:proofErr w:type="spellEnd"/>
      <w:r>
        <w:rPr>
          <w:rFonts w:ascii="Times New Roman" w:hAnsi="Times New Roman" w:cs="Times New Roman"/>
          <w:color w:val="000000"/>
          <w:sz w:val="24"/>
          <w:szCs w:val="24"/>
        </w:rPr>
        <w:t xml:space="preserve">, ņemot vērā, ka atsevišķu personu prasmes un citu apstākļu ietekme varētu apgrūtināt konstatēt, kāda ir </w:t>
      </w:r>
      <w:proofErr w:type="spellStart"/>
      <w:r>
        <w:rPr>
          <w:rFonts w:ascii="Times New Roman" w:hAnsi="Times New Roman" w:cs="Times New Roman"/>
          <w:color w:val="000000"/>
          <w:sz w:val="24"/>
          <w:szCs w:val="24"/>
        </w:rPr>
        <w:t>lejuplādēšanas</w:t>
      </w:r>
      <w:proofErr w:type="spellEnd"/>
      <w:r>
        <w:rPr>
          <w:rFonts w:ascii="Times New Roman" w:hAnsi="Times New Roman" w:cs="Times New Roman"/>
          <w:color w:val="000000"/>
          <w:sz w:val="24"/>
          <w:szCs w:val="24"/>
        </w:rPr>
        <w:t xml:space="preserve"> sarežģītības pakāpe, jo attiecīgā pazīme ir subjektīva.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15. Lūdzam likumprojekta 64. panta otrajā daļā visos gadījumos norādīt, par kādu vienošanos par izbeigšanu šajā pantā iet runa, kā arī lūdzam likumprojekta 64. panta otrajā daļā norādīt visos gadījumos 10 darbadienu atskaites punktu, tādējādi izslēdzot jebkādas interpretācijas iespējas.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16. Atkārtoti lūdzam pārskatīt likumprojektu un neietvert tajā noteikumu Nr. 108 62. punktam neatbilstošas atsauces, proti, atsauces uz konkrētiem zemāka juridiskā spēka normatīviem aktiem. Vēršam uzmanību, ka, piemēram, likumprojekta 68. panta pirmajā daļā ietverta atsauce uz noteiktu regulatora izdotu metodiku, turklāt, ja minēto metodiku paredzēts izdot ar Regulatora noteikumiem, tad attiecīgs deleģējums nav pietiekams un tas nosakāms atbilstoši noteikumu Nr. 108 51. punktam. Attiecīgi lūdzam atbilstoši precizēt likumprojektu, piemēram, izdarot atsauci uz normatīvajiem aktiem. Norādām, ka minētā prasība ir attiecināma uz visiem gadījumiem, kad paredzēts atsaukties uz Regulatora vai Ministru kabineta noteikumiem. Piemēram, arī likumprojekta 16. panta otrās daļas 6. punktā un 93. pantā vārdu "Ministru kabineta noteiktajā kārtībā" vietā būtu nepieciešams atsaukties uz normatīvajiem aktiem saskaņā ar noteikumu Nr. 108 63. punktu. Kā arī nepieciešamības gadījumā likumprojekts atbilstošā veidā papildināms ar Ministru kabineta deleģējumu izdot noteikumus saskaņā ar noteikumu Nr. 108 47. punktu.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17. Atkārtoti lūdzam izvērtēt un nodrošināt (tai skaitā nepieciešamības gadījumā sniedzot atbilstošu skaidrojumu likumprojekta anotācijā), ka no likumprojekta nepārprotami izriet tas, ka likumprojekts neparedz obligāti piemērojamos standartus, jo šobrīd no likumprojekta teksta un anotācijas tas neizriet 88. panta trešajā daļā minētajā gadījumā, kā arī 88. panta sestajā daļā minētajā gadījumā.  </w:t>
      </w:r>
    </w:p>
    <w:p w:rsidR="006551FB" w:rsidP="006551FB" w:rsidRDefault="006551FB">
      <w:pPr>
        <w:spacing w:after="240"/>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18. Vēršam uzmanību, ka likumprojektā vairākos gadījumos ir norādītas atsauces uz starptautiskiem nolīgumiem un konvencijām. Ņemot vērā, ka no likumprojektā lietotajiem formulējumiem izriet, ka ar minētajiem jēdzieniem saprotami vienīgi starptautiskie līgumi, bet citviet likumprojektā lietots termins "Latvijas Republikai saistoši starptautiskie nolīgumi", lūdzam likumprojektā lietot vienīgi jēdzienu “starptautiskie līgumi”, izvairoties no interpretācijas iespējām gadījumos, kad likumprojektā lietots kāds konkrēts starptautiska līguma nosaukums. Norādām, ka praksē sastopami vairāk nekā desmit dažādu apzīmējumu: līgums, nolīgums, vienošanās, pakts, harta, konvencija, protokols, papildprotokols, statūti, akts, pat deklarācija, un visi šie nosaukumi var nozīmēt starptautisku līgumu –, t.i., līgumslēdzēji var vienoties par jebkuru nosaukumu, kas tīk (..) (sk. </w:t>
      </w:r>
      <w:r>
        <w:rPr>
          <w:rFonts w:ascii="Times New Roman" w:hAnsi="Times New Roman" w:cs="Times New Roman"/>
          <w:i/>
          <w:iCs/>
          <w:color w:val="000000"/>
          <w:sz w:val="24"/>
          <w:szCs w:val="24"/>
        </w:rPr>
        <w:t>S. </w:t>
      </w:r>
      <w:proofErr w:type="spellStart"/>
      <w:r>
        <w:rPr>
          <w:rFonts w:ascii="Times New Roman" w:hAnsi="Times New Roman" w:cs="Times New Roman"/>
          <w:i/>
          <w:iCs/>
          <w:color w:val="000000"/>
          <w:sz w:val="24"/>
          <w:szCs w:val="24"/>
        </w:rPr>
        <w:t>Garsvāne</w:t>
      </w:r>
      <w:proofErr w:type="spellEnd"/>
      <w:r>
        <w:rPr>
          <w:rFonts w:ascii="Times New Roman" w:hAnsi="Times New Roman" w:cs="Times New Roman"/>
          <w:i/>
          <w:iCs/>
          <w:color w:val="000000"/>
          <w:sz w:val="24"/>
          <w:szCs w:val="24"/>
        </w:rPr>
        <w:t>, A. </w:t>
      </w:r>
      <w:proofErr w:type="spellStart"/>
      <w:r>
        <w:rPr>
          <w:rFonts w:ascii="Times New Roman" w:hAnsi="Times New Roman" w:cs="Times New Roman"/>
          <w:i/>
          <w:iCs/>
          <w:color w:val="000000"/>
          <w:sz w:val="24"/>
          <w:szCs w:val="24"/>
        </w:rPr>
        <w:t>Kamenska</w:t>
      </w:r>
      <w:proofErr w:type="spellEnd"/>
      <w:r>
        <w:rPr>
          <w:rFonts w:ascii="Times New Roman" w:hAnsi="Times New Roman" w:cs="Times New Roman"/>
          <w:i/>
          <w:iCs/>
          <w:color w:val="000000"/>
          <w:sz w:val="24"/>
          <w:szCs w:val="24"/>
        </w:rPr>
        <w:t>, I. Leimane, E. Levits, M. </w:t>
      </w:r>
      <w:proofErr w:type="spellStart"/>
      <w:r>
        <w:rPr>
          <w:rFonts w:ascii="Times New Roman" w:hAnsi="Times New Roman" w:cs="Times New Roman"/>
          <w:i/>
          <w:iCs/>
          <w:color w:val="000000"/>
          <w:sz w:val="24"/>
          <w:szCs w:val="24"/>
        </w:rPr>
        <w:t>Mits</w:t>
      </w:r>
      <w:proofErr w:type="spellEnd"/>
      <w:r>
        <w:rPr>
          <w:rFonts w:ascii="Times New Roman" w:hAnsi="Times New Roman" w:cs="Times New Roman"/>
          <w:i/>
          <w:iCs/>
          <w:color w:val="000000"/>
          <w:sz w:val="24"/>
          <w:szCs w:val="24"/>
        </w:rPr>
        <w:t>, N. Muižnieks, I. Tāre, I. Ziemele. Cilvēktiesības pasaulē un Latvijā. Inetas Ziemeles redakcijā. Rīga: SIA "Izglītības soļi", 2000,</w:t>
      </w:r>
      <w:r>
        <w:rPr>
          <w:rFonts w:ascii="Times New Roman" w:hAnsi="Times New Roman" w:cs="Times New Roman"/>
          <w:color w:val="000000"/>
          <w:sz w:val="24"/>
          <w:szCs w:val="24"/>
        </w:rPr>
        <w:t xml:space="preserve"> 39. lpp.). </w:t>
      </w:r>
    </w:p>
    <w:p w:rsidR="006551FB" w:rsidP="006551FB" w:rsidRDefault="006551FB">
      <w:pPr>
        <w:ind w:right="12" w:firstLine="567"/>
        <w:rPr>
          <w:color w:val="000000"/>
          <w:sz w:val="24"/>
          <w:szCs w:val="24"/>
        </w:rPr>
      </w:pPr>
      <w:r>
        <w:rPr>
          <w:rFonts w:ascii="Times New Roman" w:hAnsi="Times New Roman" w:cs="Times New Roman"/>
          <w:color w:val="000000"/>
          <w:sz w:val="24"/>
          <w:szCs w:val="24"/>
        </w:rPr>
        <w:t>19. Lūdzam likumprojektā un tā anotācijā aktualizēt un precizēt attiecīgi regulējumu un informāciju par likumprojekta spēkā stāšanās termiņu. </w:t>
      </w:r>
    </w:p>
    <w:p w:rsidR="006551FB" w:rsidP="006551FB" w:rsidRDefault="006551FB">
      <w:pPr>
        <w:ind w:right="12" w:firstLine="567"/>
        <w:rPr>
          <w:color w:val="000000"/>
          <w:sz w:val="24"/>
          <w:szCs w:val="24"/>
        </w:rPr>
      </w:pPr>
      <w:r>
        <w:rPr>
          <w:rFonts w:ascii="Times New Roman" w:hAnsi="Times New Roman" w:cs="Times New Roman"/>
          <w:color w:val="000000"/>
          <w:sz w:val="24"/>
          <w:szCs w:val="24"/>
        </w:rPr>
        <w:t>20. Likumprojekta 92. panta trešā daļa paredz noslodzes datu apstrādi elektronisko sakaru komersanta un galalietotāja tiesisko interešu īstenošanai, ko veic uz leģitīmās intereses pamata. Minētās datu apstrādes tiesiskais pamats varētu būt Eiropas Parlamenta un Padomes 2016. gada 27. aprīļa regulas (ES) 2016/679 par fizisku personu aizsardzību attiecībā uz personas datu apstrādi un šādu datu brīvu apriti un ar ko atceļ Direktīvu 95/46/EK (Vispārīgā datu aizsardzības regula) (turpmāk – regula Nr. 2016/679) 6. panta 1. punkta "f" apakšpunkts. Likumprojekta anotācijas I sadaļas 2. punktā ir skaidrots, ka elektronisko sakaru komersanta noslodzes datu apstrādes leģitīmās intereses pamati noteikti Elektronisko sakaru likumā vai atbilstoši normatīvajiem aktiem datu apstrādes jomā. Ievērojot to, ka likumprojekta anotācijā nav skaidrota minētā datu apstrādes tiesiskā pamata piemērošana, lūdzam papildināt likumprojekta anotāciju ar skaidrojumu, kuros gadījumos likumprojekta 92. panta trešā daļa būtu piemērojama. </w:t>
      </w:r>
    </w:p>
    <w:p w:rsidR="006551FB" w:rsidP="006551FB" w:rsidRDefault="006551FB">
      <w:pPr>
        <w:ind w:right="12" w:firstLine="567"/>
        <w:rPr>
          <w:color w:val="000000"/>
          <w:sz w:val="24"/>
          <w:szCs w:val="24"/>
        </w:rPr>
      </w:pPr>
      <w:r>
        <w:rPr>
          <w:rFonts w:ascii="Times New Roman" w:hAnsi="Times New Roman" w:cs="Times New Roman"/>
          <w:color w:val="000000"/>
          <w:sz w:val="24"/>
          <w:szCs w:val="24"/>
        </w:rPr>
        <w:t xml:space="preserve">21.  Vēršam uzmanību, ka Tieslietu ministrijas 27.09.2020. atzinuma Nr. 1-9.1/993 45. punkts likumprojekta izziņā ir ietverts daļēji, kā arī ir daļēji ņemts vērā. </w:t>
      </w:r>
      <w:r>
        <w:rPr>
          <w:rFonts w:ascii="Times New Roman" w:hAnsi="Times New Roman" w:cs="Times New Roman"/>
          <w:color w:val="000000"/>
          <w:sz w:val="24"/>
          <w:szCs w:val="24"/>
        </w:rPr>
        <w:lastRenderedPageBreak/>
        <w:t xml:space="preserve">Norādām, ka anotācijas I sadaļas 2. punktā ir sniegts skaidrojums par saglabājamo datu glabāšanas termiņu. Vienlaikus ir nepieciešams arī </w:t>
      </w:r>
      <w:proofErr w:type="spellStart"/>
      <w:r>
        <w:rPr>
          <w:rFonts w:ascii="Times New Roman" w:hAnsi="Times New Roman" w:cs="Times New Roman"/>
          <w:color w:val="000000"/>
          <w:sz w:val="24"/>
          <w:szCs w:val="24"/>
        </w:rPr>
        <w:t>izvērtējums</w:t>
      </w:r>
      <w:proofErr w:type="spellEnd"/>
      <w:r>
        <w:rPr>
          <w:rFonts w:ascii="Times New Roman" w:hAnsi="Times New Roman" w:cs="Times New Roman"/>
          <w:color w:val="000000"/>
          <w:sz w:val="24"/>
          <w:szCs w:val="24"/>
        </w:rPr>
        <w:t xml:space="preserve"> par noziedzīgu nodarījumu smaguma pakāpēm, kuru izmeklēšanai ir pieļaujama saglabājamo datu izmantošana, kā arī par to subjektu loku, kam ir atļauts piekļūt datiem un vēlāk tos izmantot. Attiecīgi lūdzam atbilstoši papildināt likumprojekta anotāciju. </w:t>
      </w:r>
    </w:p>
    <w:p w:rsidR="006551FB" w:rsidP="006551FB" w:rsidRDefault="006551FB">
      <w:pPr>
        <w:ind w:right="12" w:firstLine="567"/>
        <w:rPr>
          <w:color w:val="000000"/>
          <w:sz w:val="24"/>
          <w:szCs w:val="24"/>
        </w:rPr>
      </w:pPr>
      <w:r>
        <w:rPr>
          <w:rFonts w:ascii="Times New Roman" w:hAnsi="Times New Roman" w:cs="Times New Roman"/>
          <w:color w:val="000000"/>
          <w:sz w:val="24"/>
          <w:szCs w:val="24"/>
        </w:rPr>
        <w:t>22. Vēršam uzmanību, ka likumprojekta anotācijā nav minēta Eiropas Savienības Tiesas judikatūra saglabājamo datu jomā un nav pamatota likumprojekta atbilstība Eiropas Savienības Tiesas spriedumu secinājumiem. Tieslietu ministrija jau iepriekš saskaņošanas ietvaros norādīja uz Eiropas Savienības Tiesas 2014. gada 8. aprīļa spriedumu apvienotajās lietās C-293/12 un C-594/12 "</w:t>
      </w:r>
      <w:proofErr w:type="spellStart"/>
      <w:r>
        <w:rPr>
          <w:rFonts w:ascii="Times New Roman" w:hAnsi="Times New Roman" w:cs="Times New Roman"/>
          <w:color w:val="000000"/>
          <w:sz w:val="24"/>
          <w:szCs w:val="24"/>
        </w:rPr>
        <w:t>Digital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Rights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Ireland</w:t>
      </w:r>
      <w:proofErr w:type="spellEnd"/>
      <w:r>
        <w:rPr>
          <w:rFonts w:ascii="Times New Roman" w:hAnsi="Times New Roman" w:cs="Times New Roman"/>
          <w:color w:val="000000"/>
          <w:sz w:val="24"/>
          <w:szCs w:val="24"/>
        </w:rPr>
        <w:t xml:space="preserve"> un </w:t>
      </w:r>
      <w:proofErr w:type="spellStart"/>
      <w:r>
        <w:rPr>
          <w:rFonts w:ascii="Times New Roman" w:hAnsi="Times New Roman" w:cs="Times New Roman"/>
          <w:color w:val="000000"/>
          <w:sz w:val="24"/>
          <w:szCs w:val="24"/>
        </w:rPr>
        <w:t>Seitlinger</w:t>
      </w:r>
      <w:proofErr w:type="spellEnd"/>
      <w:r>
        <w:rPr>
          <w:rFonts w:ascii="Times New Roman" w:hAnsi="Times New Roman" w:cs="Times New Roman"/>
          <w:color w:val="000000"/>
          <w:sz w:val="24"/>
          <w:szCs w:val="24"/>
        </w:rPr>
        <w:t>", tomēr kopš attiecīgā Tieslietu ministrijas atzinuma Eiropas Savienības Tiesa 2020. gada 6. oktobrī pieņēma spriedumu lietā Nr. C-623/17 un apvienotajās lietās Nr. C-511/18, C-512/18 un C-520/18. Minētie Tiesas spriedumi tiek cita starpā analizēti Eiropas Savienības tiesiskās sadarbības krimināllietās (COPEN) neformālajā videokonferencē par datu saglabāšanu, kur piedalās arī Satiksmes ministrijas pārstāvis. COPEN darba grupā ir konstatēts, ka Eiropas Savienības Tiesas spriedumi par datu saglabāšanu ir ļoti sarežģīti, ir daudz atvērtu jautājumu, un diskusija par minētajiem ES Tiesas spriedumiem turpināsies Portugāles ES Prezidentūras laikā.  </w:t>
      </w:r>
    </w:p>
    <w:p w:rsidR="006551FB" w:rsidP="006551FB" w:rsidRDefault="006551FB">
      <w:pPr>
        <w:ind w:right="12" w:firstLine="567"/>
        <w:rPr>
          <w:color w:val="000000"/>
          <w:sz w:val="24"/>
          <w:szCs w:val="24"/>
        </w:rPr>
      </w:pPr>
      <w:r>
        <w:rPr>
          <w:rFonts w:ascii="Times New Roman" w:hAnsi="Times New Roman" w:cs="Times New Roman"/>
          <w:color w:val="000000"/>
          <w:sz w:val="24"/>
          <w:szCs w:val="24"/>
        </w:rPr>
        <w:t xml:space="preserve">Izziņas 87. punktā ir skaidrots: “Attiecībā uz Eiropas Savienības Tiesas (EST) judikatūru kopš pirmā EST nolēmuma 2014. gada 8. aprīlī saistībā ar datu saglabāšanu šobrīd Eiropas Savienības līmenī EST nolēmumu izpēte notiek joprojām, ņemot vērā, ka to piemērojamības iespējamība praksē vēl nav konstatēta attiecībā uz datu saglabāšanu, bet ir iespējama attiecībā uz saglabāto datu izmantošanu. Saistībā ar saglabājamo datu izmantošanu </w:t>
      </w:r>
      <w:proofErr w:type="spellStart"/>
      <w:r>
        <w:rPr>
          <w:rFonts w:ascii="Times New Roman" w:hAnsi="Times New Roman" w:cs="Times New Roman"/>
          <w:color w:val="000000"/>
          <w:sz w:val="24"/>
          <w:szCs w:val="24"/>
        </w:rPr>
        <w:t>izvērtējumu</w:t>
      </w:r>
      <w:proofErr w:type="spellEnd"/>
      <w:r>
        <w:rPr>
          <w:rFonts w:ascii="Times New Roman" w:hAnsi="Times New Roman" w:cs="Times New Roman"/>
          <w:color w:val="000000"/>
          <w:sz w:val="24"/>
          <w:szCs w:val="24"/>
        </w:rPr>
        <w:t xml:space="preserve"> ir veikusi </w:t>
      </w:r>
      <w:proofErr w:type="spellStart"/>
      <w:r>
        <w:rPr>
          <w:rFonts w:ascii="Times New Roman" w:hAnsi="Times New Roman" w:cs="Times New Roman"/>
          <w:color w:val="000000"/>
          <w:sz w:val="24"/>
          <w:szCs w:val="24"/>
        </w:rPr>
        <w:t>Iekšlietu</w:t>
      </w:r>
      <w:proofErr w:type="spellEnd"/>
      <w:r>
        <w:rPr>
          <w:rFonts w:ascii="Times New Roman" w:hAnsi="Times New Roman" w:cs="Times New Roman"/>
          <w:color w:val="000000"/>
          <w:sz w:val="24"/>
          <w:szCs w:val="24"/>
        </w:rPr>
        <w:t xml:space="preserve"> ministrija un uzlabojumus veikusi citos normatīvajos aktos.” Ņemot vērā to, ka ES Tiesas judikatūra ir minēta tikai izziņā, lūdzam papildināt likumprojekta anotāciju ar Eiropas Savienības Tiesas judikatūru attiecībā uz saglabājamiem datiem, kā arī iespēju robežās izvērtēt regulējuma atbilstību Eiropas Savienības Tiesas spriedumiem attiecībā uz saglabājamiem datiem. </w:t>
      </w:r>
    </w:p>
    <w:p w:rsidR="006551FB" w:rsidP="006551FB" w:rsidRDefault="006551FB">
      <w:pPr>
        <w:ind w:right="12" w:firstLine="567"/>
        <w:rPr>
          <w:color w:val="000000"/>
          <w:sz w:val="24"/>
          <w:szCs w:val="24"/>
        </w:rPr>
      </w:pPr>
      <w:r>
        <w:rPr>
          <w:rFonts w:ascii="Times New Roman" w:hAnsi="Times New Roman" w:cs="Times New Roman"/>
          <w:color w:val="000000"/>
          <w:sz w:val="24"/>
          <w:szCs w:val="24"/>
        </w:rPr>
        <w:t>23. Tieslietu ministrijas atzinumā bija lūgts izvērtēt un nodrošināt, ka likumprojektā netiek dublētas regulu prasības. Likumprojekta 93. panta piektās daļas redakcija ir precizēta, proti, galalietotājs var atsaukt piekrišanu atrašanās vietas datu apstrādei citam mērķim, to paziņojot attiecīgajam elektronisko sakaru komersantam. Ievērojot to, ka precizētā likumprojekta 93. panta piektās daļas redakcija pēc būtības ir līdzīga redakcijai, par kuru tika sniegts attiecīgais iebildums, lūdzam anotācijā skaidrot minētās tiesību normas mērķi, lai būtu skaidrāk izprotams datu apstrādes tiesiskā pamata – piekrišana – lietojums. </w:t>
      </w:r>
    </w:p>
    <w:p w:rsidR="006551FB" w:rsidP="006551FB" w:rsidRDefault="006551FB">
      <w:pPr>
        <w:spacing w:after="240"/>
        <w:ind w:right="12" w:firstLine="567"/>
        <w:rPr>
          <w:color w:val="000000"/>
          <w:sz w:val="24"/>
          <w:szCs w:val="24"/>
        </w:rPr>
      </w:pPr>
      <w:r>
        <w:rPr>
          <w:rFonts w:ascii="Times New Roman" w:hAnsi="Times New Roman" w:cs="Times New Roman"/>
          <w:color w:val="000000"/>
          <w:sz w:val="24"/>
          <w:szCs w:val="24"/>
        </w:rPr>
        <w:t xml:space="preserve">24. Tieslietu ministrijas atzinumā bija lūgts izvērtēt datu subjekta tiesību ierobežojumu kontekstā ar likumprojekta 94. panta sesto daļu (bijusī astotā daļa). Likumprojekta anotācijas I sadaļas 2. punktā ir skaidrots: “Likumprojekta 94. panta astotajā daļā noteiktā tiesību norma par informācijas neizpaušanu saistīta ar izmeklēšanas noslēpuma neizpaušanu. Elektronisko sakaru komersantam kopsakarā ar likumprojekta 94. panta desmito daļu ir saistoša arī Vispārīgā datu aizsardzības regulas 17.pantā noteiktais par personas datu dzēšanu, kā arī Fizisko personu datu apstrādes likuma 26.pants.” Saistībā ar minēto lūdzam likumprojekta anotācijā norādīt, kuri tiesību akti paredz datu subjekta tiesību ierobežošanu. Vienlaikus norādām, ka likumprojekta anotācijā sniegtais skaidrojums par to, ka elektronisko sakaru komersantam kopsakarā ar likumprojekta 94. panta desmito daļu ir saistoša arī Vispārīgā datu aizsardzības regulas 17. pantā noteiktais par personas datu dzēšanu, kā arī Fizisko personu datu apstrādes likuma 26. pants, ir deklaratīvs un būtu svītrojams.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25. Lūdzam precizēt likumprojekta pārejas noteikumu 13. punktā ietverto atsauci uz “Likuma 28.panta ceturtajā daļā paredzēto tiesisko attiecību modeli un atlīdzības būtību”, jo tā ir neskaidra un neprecīza.  </w:t>
      </w:r>
    </w:p>
    <w:p w:rsidR="006551FB" w:rsidP="006551FB" w:rsidRDefault="006551FB">
      <w:pPr>
        <w:spacing w:after="240"/>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26. Lūdzam precizēt likumprojektā ietverto Informatīvo atsauci uz Eiropas Savienības direktīvām, izslēdzot tajā atsauci uz Eiropas Parlamenta un Padomes 2006. gada 15. marta direktīvu 2006/24/EK par tādu datu saglabāšanu, kurus iegūst vai apstrādā saistībā ar publiski pieejamu elektronisko komunikāciju pakalpojumu sniegšanu vai publiski pieejamu komunikāciju tīklu nodrošināšanu, un par grozījumiem Direktīvā 2002/58/EK, jo, kā iepriekš saskaņošanas procesā minēts, minētā direktīva ar Eiropas Savienības Tiesas spriedumu ir atzīta par absolūti spēkā neesošu (</w:t>
      </w:r>
      <w:proofErr w:type="spellStart"/>
      <w:r>
        <w:rPr>
          <w:rFonts w:ascii="Times New Roman" w:hAnsi="Times New Roman" w:cs="Times New Roman"/>
          <w:i/>
          <w:iCs/>
          <w:color w:val="000000"/>
          <w:sz w:val="24"/>
          <w:szCs w:val="24"/>
        </w:rPr>
        <w:t>ab</w:t>
      </w:r>
      <w:proofErr w:type="spellEnd"/>
      <w:r>
        <w:rPr>
          <w:rFonts w:ascii="Times New Roman" w:hAnsi="Times New Roman" w:cs="Times New Roman"/>
          <w:i/>
          <w:iCs/>
          <w:color w:val="000000"/>
          <w:sz w:val="24"/>
          <w:szCs w:val="24"/>
        </w:rPr>
        <w:t xml:space="preserve"> </w:t>
      </w:r>
      <w:proofErr w:type="spellStart"/>
      <w:r>
        <w:rPr>
          <w:rFonts w:ascii="Times New Roman" w:hAnsi="Times New Roman" w:cs="Times New Roman"/>
          <w:i/>
          <w:iCs/>
          <w:color w:val="000000"/>
          <w:sz w:val="24"/>
          <w:szCs w:val="24"/>
        </w:rPr>
        <w:t>initio</w:t>
      </w:r>
      <w:proofErr w:type="spellEnd"/>
      <w:r>
        <w:rPr>
          <w:rFonts w:ascii="Times New Roman" w:hAnsi="Times New Roman" w:cs="Times New Roman"/>
          <w:color w:val="000000"/>
          <w:sz w:val="24"/>
          <w:szCs w:val="24"/>
        </w:rPr>
        <w:t>) un līdz ar to nav pārņemama ar likumprojektu. Kā arī lūdzam svītrot norādes uz minēto direktīvu likumprojekta anotācijā.</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27. Atbilstoši Ministru kabineta 2009. gada 15. decembra instrukcijas Nr. 19 "Tiesību akta projekta sākotnējās ietekmes izvērtēšanas kārtība" (turpmāk – instrukcija Nr. 19) 14. punktam lūdzam likumprojekta anotācijā sniegt izvērstu skaidrojumu par likumprojekta 25. panta ceturtās daļas nepieciešamību un mērķi. Norādām, ka nav atbalstāma Publiskas personas finanšu līdzekļu un mantas izšķērdēšanas novēršanas likuma prasību neattiecināšana, ciktāl to nepamato konkrēti argumentēti un izsvērti apsvērumi. Ja skaidrojumu nav iespējams sniegt, lūdzam atbilstoši precizēt likumprojektu. Turklāt Publiskas personas finanšu līdzekļu un mantas izšķērdēšanas novēršanas likuma 6.</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pants (likumprojektā pieļauta tehniska kļūda, atsaucoties uz šo vienību) paredz vairākas prasības un izņēmuma nepieciešamība skaidrojama iepretim katrai no šīm prasībām.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Ja atbilstošu skaidrojumu nav iespējams sniegt, lūdzam atbilstoši precizēt likumprojekta 25. panta ceturto daļu.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28. </w:t>
      </w:r>
      <w:proofErr w:type="spellStart"/>
      <w:r>
        <w:rPr>
          <w:rFonts w:ascii="Times New Roman" w:hAnsi="Times New Roman" w:cs="Times New Roman"/>
          <w:color w:val="000000"/>
          <w:sz w:val="24"/>
          <w:szCs w:val="24"/>
          <w:lang w:val="en-GB"/>
        </w:rPr>
        <w:t>Likumprojekta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anotācijā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norādīts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tiek</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saglabāts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regulējums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kāds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spēkā</w:t>
      </w:r>
      <w:proofErr w:type="spellEnd"/>
      <w:r>
        <w:rPr>
          <w:rFonts w:ascii="Times New Roman" w:hAnsi="Times New Roman" w:cs="Times New Roman"/>
          <w:color w:val="000000"/>
          <w:sz w:val="24"/>
          <w:szCs w:val="24"/>
          <w:lang w:val="en-GB"/>
        </w:rPr>
        <w:t xml:space="preserve"> no </w:t>
      </w:r>
      <w:proofErr w:type="spellStart"/>
      <w:r>
        <w:rPr>
          <w:rFonts w:ascii="Times New Roman" w:hAnsi="Times New Roman" w:cs="Times New Roman"/>
          <w:color w:val="000000"/>
          <w:sz w:val="24"/>
          <w:szCs w:val="24"/>
          <w:lang w:val="en-GB"/>
        </w:rPr>
        <w:t>š.g</w:t>
      </w:r>
      <w:proofErr w:type="spellEnd"/>
      <w:r>
        <w:rPr>
          <w:rFonts w:ascii="Times New Roman" w:hAnsi="Times New Roman" w:cs="Times New Roman"/>
          <w:color w:val="000000"/>
          <w:sz w:val="24"/>
          <w:szCs w:val="24"/>
          <w:lang w:val="en-GB"/>
        </w:rPr>
        <w:t>. 1. </w:t>
      </w:r>
      <w:proofErr w:type="spellStart"/>
      <w:r>
        <w:rPr>
          <w:rFonts w:ascii="Times New Roman" w:hAnsi="Times New Roman" w:cs="Times New Roman"/>
          <w:color w:val="000000"/>
          <w:sz w:val="24"/>
          <w:szCs w:val="24"/>
          <w:lang w:val="en-GB"/>
        </w:rPr>
        <w:t>jūlija</w:t>
      </w:r>
      <w:proofErr w:type="spellEnd"/>
      <w:r>
        <w:rPr>
          <w:rFonts w:ascii="Times New Roman" w:hAnsi="Times New Roman" w:cs="Times New Roman"/>
          <w:color w:val="000000"/>
          <w:sz w:val="24"/>
          <w:szCs w:val="24"/>
          <w:lang w:val="en-GB"/>
        </w:rPr>
        <w:t>. </w:t>
      </w:r>
      <w:proofErr w:type="spellStart"/>
      <w:r>
        <w:rPr>
          <w:rFonts w:ascii="Times New Roman" w:hAnsi="Times New Roman" w:cs="Times New Roman"/>
          <w:color w:val="000000"/>
          <w:sz w:val="24"/>
          <w:szCs w:val="24"/>
          <w:lang w:val="en-GB"/>
        </w:rPr>
        <w:t>Saistībā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minēto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vēršam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uzmanību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satur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normas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kuru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sankcijas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paaugstinātas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salīdzinot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iepriekšējo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regulējumu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Proti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likumprojekta</w:t>
      </w:r>
      <w:proofErr w:type="spellEnd"/>
      <w:r>
        <w:rPr>
          <w:rFonts w:ascii="Times New Roman" w:hAnsi="Times New Roman" w:cs="Times New Roman"/>
          <w:color w:val="000000"/>
          <w:sz w:val="24"/>
          <w:szCs w:val="24"/>
          <w:lang w:val="en-GB"/>
        </w:rPr>
        <w:t xml:space="preserve"> 108., 109., un 112. </w:t>
      </w:r>
      <w:proofErr w:type="spellStart"/>
      <w:r>
        <w:rPr>
          <w:rFonts w:ascii="Times New Roman" w:hAnsi="Times New Roman" w:cs="Times New Roman"/>
          <w:color w:val="000000"/>
          <w:sz w:val="24"/>
          <w:szCs w:val="24"/>
          <w:lang w:val="en-GB"/>
        </w:rPr>
        <w:t>pantā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noteikts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par </w:t>
      </w:r>
      <w:proofErr w:type="spellStart"/>
      <w:r>
        <w:rPr>
          <w:rFonts w:ascii="Times New Roman" w:hAnsi="Times New Roman" w:cs="Times New Roman"/>
          <w:color w:val="000000"/>
          <w:sz w:val="24"/>
          <w:szCs w:val="24"/>
          <w:lang w:val="en-GB"/>
        </w:rPr>
        <w:t>attiecīgo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pārkāpumu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izdarīšanu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juridiskajai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personai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piemēro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naudas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sodu</w:t>
      </w:r>
      <w:proofErr w:type="spellEnd"/>
      <w:r>
        <w:rPr>
          <w:rFonts w:ascii="Times New Roman" w:hAnsi="Times New Roman" w:cs="Times New Roman"/>
          <w:color w:val="000000"/>
          <w:sz w:val="24"/>
          <w:szCs w:val="24"/>
          <w:lang w:val="en-GB"/>
        </w:rPr>
        <w:t> </w:t>
      </w:r>
      <w:proofErr w:type="spellStart"/>
      <w:r>
        <w:rPr>
          <w:rFonts w:ascii="Times New Roman" w:hAnsi="Times New Roman" w:cs="Times New Roman"/>
          <w:color w:val="000000"/>
          <w:sz w:val="24"/>
          <w:szCs w:val="24"/>
          <w:lang w:val="en-GB"/>
        </w:rPr>
        <w:t>līdz</w:t>
      </w:r>
      <w:proofErr w:type="spellEnd"/>
      <w:r>
        <w:rPr>
          <w:rFonts w:ascii="Times New Roman" w:hAnsi="Times New Roman" w:cs="Times New Roman"/>
          <w:color w:val="000000"/>
          <w:sz w:val="24"/>
          <w:szCs w:val="24"/>
          <w:lang w:val="en-GB"/>
        </w:rPr>
        <w:t xml:space="preserve"> 10 </w:t>
      </w:r>
      <w:proofErr w:type="spellStart"/>
      <w:r>
        <w:rPr>
          <w:rFonts w:ascii="Times New Roman" w:hAnsi="Times New Roman" w:cs="Times New Roman"/>
          <w:color w:val="000000"/>
          <w:sz w:val="24"/>
          <w:szCs w:val="24"/>
          <w:lang w:val="en-GB"/>
        </w:rPr>
        <w:t>procentiem</w:t>
      </w:r>
      <w:proofErr w:type="spellEnd"/>
      <w:r>
        <w:rPr>
          <w:rFonts w:ascii="Times New Roman" w:hAnsi="Times New Roman" w:cs="Times New Roman"/>
          <w:color w:val="000000"/>
          <w:sz w:val="24"/>
          <w:szCs w:val="24"/>
          <w:lang w:val="en-GB"/>
        </w:rPr>
        <w:t xml:space="preserve"> no </w:t>
      </w:r>
      <w:proofErr w:type="spellStart"/>
      <w:r>
        <w:rPr>
          <w:rFonts w:ascii="Times New Roman" w:hAnsi="Times New Roman" w:cs="Times New Roman"/>
          <w:color w:val="000000"/>
          <w:sz w:val="24"/>
          <w:szCs w:val="24"/>
          <w:lang w:val="en-GB"/>
        </w:rPr>
        <w:t>juridiskās</w:t>
      </w:r>
      <w:proofErr w:type="spellEnd"/>
      <w:r>
        <w:rPr>
          <w:rFonts w:ascii="Times New Roman" w:hAnsi="Times New Roman" w:cs="Times New Roman"/>
          <w:color w:val="000000"/>
          <w:sz w:val="24"/>
          <w:szCs w:val="24"/>
          <w:lang w:val="en-GB"/>
        </w:rPr>
        <w:t xml:space="preserve"> personas </w:t>
      </w:r>
      <w:proofErr w:type="spellStart"/>
      <w:r>
        <w:rPr>
          <w:rFonts w:ascii="Times New Roman" w:hAnsi="Times New Roman" w:cs="Times New Roman"/>
          <w:color w:val="000000"/>
          <w:sz w:val="24"/>
          <w:szCs w:val="24"/>
          <w:lang w:val="en-GB"/>
        </w:rPr>
        <w:t>iepriekšējā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pārskata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gada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neto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apgrozījuma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elektronisko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sakaru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nozarē</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Ievērojot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minēto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norādām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paredzētais</w:t>
      </w:r>
      <w:proofErr w:type="spellEnd"/>
      <w:r>
        <w:rPr>
          <w:rFonts w:ascii="Times New Roman" w:hAnsi="Times New Roman" w:cs="Times New Roman"/>
          <w:color w:val="000000"/>
          <w:sz w:val="24"/>
          <w:szCs w:val="24"/>
          <w:lang w:val="en-GB"/>
        </w:rPr>
        <w:t xml:space="preserve"> sods </w:t>
      </w:r>
      <w:proofErr w:type="spellStart"/>
      <w:r>
        <w:rPr>
          <w:rFonts w:ascii="Times New Roman" w:hAnsi="Times New Roman" w:cs="Times New Roman"/>
          <w:color w:val="000000"/>
          <w:sz w:val="24"/>
          <w:szCs w:val="24"/>
          <w:lang w:val="en-GB"/>
        </w:rPr>
        <w:t>neatbilst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Administratīvās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atbildības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likuma</w:t>
      </w:r>
      <w:proofErr w:type="spellEnd"/>
      <w:r>
        <w:rPr>
          <w:rFonts w:ascii="Times New Roman" w:hAnsi="Times New Roman" w:cs="Times New Roman"/>
          <w:color w:val="000000"/>
          <w:sz w:val="24"/>
          <w:szCs w:val="24"/>
          <w:lang w:val="en-GB"/>
        </w:rPr>
        <w:t xml:space="preserve"> 16. </w:t>
      </w:r>
      <w:proofErr w:type="spellStart"/>
      <w:r>
        <w:rPr>
          <w:rFonts w:ascii="Times New Roman" w:hAnsi="Times New Roman" w:cs="Times New Roman"/>
          <w:color w:val="000000"/>
          <w:sz w:val="24"/>
          <w:szCs w:val="24"/>
          <w:lang w:val="en-GB"/>
        </w:rPr>
        <w:t>panta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piektajā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daļā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noteiktajam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sodu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aprēķina</w:t>
      </w:r>
      <w:proofErr w:type="spellEnd"/>
      <w:r>
        <w:rPr>
          <w:rFonts w:ascii="Times New Roman" w:hAnsi="Times New Roman" w:cs="Times New Roman"/>
          <w:color w:val="000000"/>
          <w:sz w:val="24"/>
          <w:szCs w:val="24"/>
          <w:lang w:val="en-GB"/>
        </w:rPr>
        <w:t xml:space="preserve"> no </w:t>
      </w:r>
      <w:proofErr w:type="spellStart"/>
      <w:r>
        <w:rPr>
          <w:rFonts w:ascii="Times New Roman" w:hAnsi="Times New Roman" w:cs="Times New Roman"/>
          <w:color w:val="000000"/>
          <w:sz w:val="24"/>
          <w:szCs w:val="24"/>
          <w:lang w:val="en-GB"/>
        </w:rPr>
        <w:t>iepriekšējā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pārskata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gada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neto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apgrozījuma</w:t>
      </w:r>
      <w:proofErr w:type="spellEnd"/>
      <w:r>
        <w:rPr>
          <w:rFonts w:ascii="Times New Roman" w:hAnsi="Times New Roman" w:cs="Times New Roman"/>
          <w:color w:val="000000"/>
          <w:sz w:val="24"/>
          <w:szCs w:val="24"/>
          <w:lang w:val="en-GB"/>
        </w:rPr>
        <w:t>. </w:t>
      </w:r>
    </w:p>
    <w:p w:rsidR="006551FB" w:rsidP="006551FB" w:rsidRDefault="006551FB">
      <w:pPr>
        <w:ind w:right="12" w:firstLine="567"/>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lang w:val="en-GB"/>
        </w:rPr>
        <w:t>Tāpat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normu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sankcijas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paaugstinātas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arī</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piemēram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likumprojekta</w:t>
      </w:r>
      <w:proofErr w:type="spellEnd"/>
      <w:r>
        <w:rPr>
          <w:rFonts w:ascii="Times New Roman" w:hAnsi="Times New Roman" w:cs="Times New Roman"/>
          <w:color w:val="000000"/>
          <w:sz w:val="24"/>
          <w:szCs w:val="24"/>
          <w:lang w:val="en-GB"/>
        </w:rPr>
        <w:t xml:space="preserve"> 111. un 113. </w:t>
      </w:r>
      <w:proofErr w:type="spellStart"/>
      <w:r>
        <w:rPr>
          <w:rFonts w:ascii="Times New Roman" w:hAnsi="Times New Roman" w:cs="Times New Roman"/>
          <w:color w:val="000000"/>
          <w:sz w:val="24"/>
          <w:szCs w:val="24"/>
          <w:lang w:val="en-GB"/>
        </w:rPr>
        <w:t>pantā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Uzsveram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ievērojot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administratīvo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pārkāpuma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tiesību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sodošo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dabu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gadījumā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ja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iestāde</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izšķīrusies</w:t>
      </w:r>
      <w:proofErr w:type="spellEnd"/>
      <w:r>
        <w:rPr>
          <w:rFonts w:ascii="Times New Roman" w:hAnsi="Times New Roman" w:cs="Times New Roman"/>
          <w:color w:val="000000"/>
          <w:sz w:val="24"/>
          <w:szCs w:val="24"/>
          <w:lang w:val="en-GB"/>
        </w:rPr>
        <w:t xml:space="preserve"> par </w:t>
      </w:r>
      <w:proofErr w:type="spellStart"/>
      <w:r>
        <w:rPr>
          <w:rFonts w:ascii="Times New Roman" w:hAnsi="Times New Roman" w:cs="Times New Roman"/>
          <w:color w:val="000000"/>
          <w:sz w:val="24"/>
          <w:szCs w:val="24"/>
          <w:lang w:val="en-GB"/>
        </w:rPr>
        <w:t>nepieciešamību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palielināt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attiecīgu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administratīvo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pārkāpumu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sankcijas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šim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apsvērumam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jābūt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pamatotam</w:t>
      </w:r>
      <w:proofErr w:type="spellEnd"/>
      <w:r>
        <w:rPr>
          <w:rFonts w:ascii="Times New Roman" w:hAnsi="Times New Roman" w:cs="Times New Roman"/>
          <w:color w:val="000000"/>
          <w:sz w:val="24"/>
          <w:szCs w:val="24"/>
          <w:lang w:val="en-GB"/>
        </w:rPr>
        <w:t>. </w:t>
      </w:r>
    </w:p>
    <w:p w:rsidR="006551FB" w:rsidP="006551FB" w:rsidRDefault="006551FB">
      <w:pPr>
        <w:ind w:right="12" w:firstLine="567"/>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lang w:val="en-GB"/>
        </w:rPr>
        <w:t>Ievērojot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minēto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lūdzam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precizēt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likumprojektu</w:t>
      </w:r>
      <w:proofErr w:type="spellEnd"/>
      <w:r>
        <w:rPr>
          <w:rFonts w:ascii="Times New Roman" w:hAnsi="Times New Roman" w:cs="Times New Roman"/>
          <w:color w:val="000000"/>
          <w:sz w:val="24"/>
          <w:szCs w:val="24"/>
          <w:lang w:val="en-GB"/>
        </w:rPr>
        <w:t xml:space="preserve"> un </w:t>
      </w:r>
      <w:proofErr w:type="spellStart"/>
      <w:r>
        <w:rPr>
          <w:rFonts w:ascii="Times New Roman" w:hAnsi="Times New Roman" w:cs="Times New Roman"/>
          <w:color w:val="000000"/>
          <w:sz w:val="24"/>
          <w:szCs w:val="24"/>
          <w:lang w:val="en-GB"/>
        </w:rPr>
        <w:t>tā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anotāciju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attiecīgi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skaidrojot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grozījumu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nepieciešamību</w:t>
      </w:r>
      <w:proofErr w:type="spellEnd"/>
      <w:r>
        <w:rPr>
          <w:rFonts w:ascii="Times New Roman" w:hAnsi="Times New Roman" w:cs="Times New Roman"/>
          <w:color w:val="000000"/>
          <w:sz w:val="24"/>
          <w:szCs w:val="24"/>
          <w:lang w:val="en-GB"/>
        </w:rPr>
        <w:t xml:space="preserve"> un </w:t>
      </w:r>
      <w:proofErr w:type="spellStart"/>
      <w:r>
        <w:rPr>
          <w:rFonts w:ascii="Times New Roman" w:hAnsi="Times New Roman" w:cs="Times New Roman"/>
          <w:color w:val="000000"/>
          <w:sz w:val="24"/>
          <w:szCs w:val="24"/>
          <w:lang w:val="en-GB"/>
        </w:rPr>
        <w:t>pamatotību</w:t>
      </w:r>
      <w:proofErr w:type="spellEnd"/>
      <w:r>
        <w:rPr>
          <w:rFonts w:ascii="Times New Roman" w:hAnsi="Times New Roman" w:cs="Times New Roman"/>
          <w:color w:val="000000"/>
          <w:sz w:val="24"/>
          <w:szCs w:val="24"/>
          <w:lang w:val="en-GB"/>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29. Likumprojekta anotācijā nepieciešams sniegt skaidrojumu par deleģējuma saturu attiecībā uz likumprojekta vienībām, kas paredz deleģējumu izdot Ministru kabineta un Regulatora noteikumus, ciktāl likumdevēja noteiktajā deleģējumā tiek lietots vārds "kārtība" – gadījumos, kad līdztekus attiecīgajam deleģējumam nav skaidri norādīts par citu deleģējumu, kas paredz Ministru kabinetam un Regulatoram tiesības pieņemt arī materiāla rakstura normas (gadījumā, ja attiecīga norāde par citu deleģējumu ir ietverta, pašiem jāsaprot, ka ar terminu "kārtība" būs saprotams vienīgi deleģējums, kas paredz Latvijas Bankai izdot vienīgi procesuāla rakstura tiesību normas, bet ne materiālās normas). Ņemot vērā, ka izziņā norādīts uz to, ka ar "kārtību" </w:t>
      </w:r>
      <w:r>
        <w:rPr>
          <w:rFonts w:ascii="Times New Roman" w:hAnsi="Times New Roman" w:cs="Times New Roman"/>
          <w:color w:val="000000"/>
          <w:sz w:val="24"/>
          <w:szCs w:val="24"/>
        </w:rPr>
        <w:lastRenderedPageBreak/>
        <w:t xml:space="preserve">saprotams, ka deleģējums paredz vienīgi izdot procesuālās tiesību normas, lūdzam to </w:t>
      </w:r>
      <w:proofErr w:type="spellStart"/>
      <w:r>
        <w:rPr>
          <w:rFonts w:ascii="Times New Roman" w:hAnsi="Times New Roman" w:cs="Times New Roman"/>
          <w:color w:val="000000"/>
          <w:sz w:val="24"/>
          <w:szCs w:val="24"/>
        </w:rPr>
        <w:t>atbilstošiatspoguļot</w:t>
      </w:r>
      <w:proofErr w:type="spellEnd"/>
      <w:r>
        <w:rPr>
          <w:rFonts w:ascii="Times New Roman" w:hAnsi="Times New Roman" w:cs="Times New Roman"/>
          <w:color w:val="000000"/>
          <w:sz w:val="24"/>
          <w:szCs w:val="24"/>
        </w:rPr>
        <w:t xml:space="preserve"> arī likumprojekta anotācijā, kur norādīts par izdodamo attiecīgo noteikumu saturu (izņēmums varētu būt gadījumos, ja anotācijā jau pamatoti norādīts, ka saturiski izdodamos Ministru kabineta vai Regulatora noteikumos nav paredzētas izmaiņas iepretim šobrīd spēkā esošajam regulējumam), proti, likumprojekta anotācijas I sadaļas 2. punktā vai IV sadaļā. Pamatojoties uz Valsts iestāžu juridisko dienestu vadītāju 2020. gada 22. oktobra sanāksmē nolemto (sk. protokolu Nr. 2, 1.§), likumprojekta anotācijā ir jāizskaidro likumdevēja dotā pilnvarojuma apjoms, lai novērstu iespējamās šaubas par to, un anotācija varētu kalpot kā palīglīdzeklis pilnvarojuma interpretācijā (savlaicīgi jāplāno regulējuma saturs). Pilnvarojošā norma –"noteikt kārtību" – neizslēdz Ministru kabinetam tiesības pieņemt materiāla rakstura normas, ja tās atbilst likuma mērķim un citiem Satversmes un demokrātiskas valsts pamatprincipiem un neveido jaunas, pilnvarojumā neparedzētas tiesiskās attiecības. Vienlaicīgi nepieciešams gūt pārliecību (no tiesību akta anotācijas, Saeimas sēžu stenogrammas, Saeimas komisiju protokoliem, priekšlikumu vēstulēm vai citiem materiāliem), ka likumdevējs, pilnvarojot Ministru kabinetu "noteikt kārtību", ir vēlējies uzdot izstrādāt ne tikai procesuāla rakstura normas. Gadījumā, ja uz pilnvarojuma pamata būs jāizdod arī materiāla rakstura tiesību normas, nepieciešams izvairīties pilnvarojumā lietot vārdu "kārtība" vai papildināt pilnvarojumu ar vārdiem atbilstoši pilnvarojuma mērķim (piemēram, "Ministru kabinets nosaka kārtību un kritērijus [..]"), lai neradītu šaubas par pilnvarojuma apjomu (minētais attiecināms arī uz Regulatora izdotajiem noteikumiem).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30. Atkārtoti lūdzam precizēt likumprojekta anotāciju, jo Tieslietu ministrijai nav iespējams precīzi izvērtēt, kuras likumprojekta normas ir ieviestas atbilstoši likumprojektā un tā anotācijas I sadaļas 2. punktā minētajām regulām – Eiropas Parlamenta un Padomes 2015. gada 25. novembra regulai (ES) 2015/2120, ar ko nosaka pasākumus sakarā ar piekļuvi atvērtam internetam un groza Direktīvu 2002/22/EK par universālo pakalpojumu un lietotāju tiesībām attiecībā uz elektronisko sakaru tīkliem un pakalpojumiem un Regulu (ES) Nr. 531/2012 par </w:t>
      </w:r>
      <w:proofErr w:type="spellStart"/>
      <w:r>
        <w:rPr>
          <w:rFonts w:ascii="Times New Roman" w:hAnsi="Times New Roman" w:cs="Times New Roman"/>
          <w:color w:val="000000"/>
          <w:sz w:val="24"/>
          <w:szCs w:val="24"/>
        </w:rPr>
        <w:t>viesabonēšanu</w:t>
      </w:r>
      <w:proofErr w:type="spellEnd"/>
      <w:r>
        <w:rPr>
          <w:rFonts w:ascii="Times New Roman" w:hAnsi="Times New Roman" w:cs="Times New Roman"/>
          <w:color w:val="000000"/>
          <w:sz w:val="24"/>
          <w:szCs w:val="24"/>
        </w:rPr>
        <w:t xml:space="preserve"> publiskajos mobilo sakaru tīklos, Komisijas 2012. gada 26. novembra deleģētai regulai (ES) Nr. 305/2013, ar ko Eiropas Parlamenta un Padomes direktīvu 2010/40/ES papildina attiecībā uz </w:t>
      </w:r>
      <w:proofErr w:type="spellStart"/>
      <w:r>
        <w:rPr>
          <w:rFonts w:ascii="Times New Roman" w:hAnsi="Times New Roman" w:cs="Times New Roman"/>
          <w:color w:val="000000"/>
          <w:sz w:val="24"/>
          <w:szCs w:val="24"/>
        </w:rPr>
        <w:t>sadarbspējīga</w:t>
      </w:r>
      <w:proofErr w:type="spellEnd"/>
      <w:r>
        <w:rPr>
          <w:rFonts w:ascii="Times New Roman" w:hAnsi="Times New Roman" w:cs="Times New Roman"/>
          <w:color w:val="000000"/>
          <w:sz w:val="24"/>
          <w:szCs w:val="24"/>
        </w:rPr>
        <w:t xml:space="preserve"> ES mēroga </w:t>
      </w:r>
      <w:proofErr w:type="spellStart"/>
      <w:r>
        <w:rPr>
          <w:rFonts w:ascii="Times New Roman" w:hAnsi="Times New Roman" w:cs="Times New Roman"/>
          <w:color w:val="000000"/>
          <w:sz w:val="24"/>
          <w:szCs w:val="24"/>
        </w:rPr>
        <w:t>eCall</w:t>
      </w:r>
      <w:proofErr w:type="spellEnd"/>
      <w:r>
        <w:rPr>
          <w:rFonts w:ascii="Times New Roman" w:hAnsi="Times New Roman" w:cs="Times New Roman"/>
          <w:color w:val="000000"/>
          <w:sz w:val="24"/>
          <w:szCs w:val="24"/>
        </w:rPr>
        <w:t xml:space="preserve"> pakalpojuma saskaņotu nodrošināšanu, Komisijas 2019. gada 17. decembra deleģētai regulai (ES) Nr. 2019/2243, ar ko izveido līguma kopsavilkuma veidni, kas publiski pieejamu elektronisko sakaru pakalpojumu sniedzējiem jāizmanto saskaņā ar Eiropas Parlamenta un Padomes Direktīvu (ES) 2018/1972 un Eiropas Komisijas 2020. gada 20. jūlija īstenošanas regulai (ES) 2020/1070 par tuvas darbības bezvadu piekļuves punktu raksturlielumu precizēšanu saskaņā ar Eiropas Parlamenta un Padomes Direktīvas (ES) 2018/1972 par Eiropas Elektronisko sakaru kodeksa izveidi 57. panta 2. punktu. Ņemot vērā minēto, Tieslietu ministrija varēs sniegt precīzu </w:t>
      </w:r>
      <w:proofErr w:type="spellStart"/>
      <w:r>
        <w:rPr>
          <w:rFonts w:ascii="Times New Roman" w:hAnsi="Times New Roman" w:cs="Times New Roman"/>
          <w:color w:val="000000"/>
          <w:sz w:val="24"/>
          <w:szCs w:val="24"/>
        </w:rPr>
        <w:t>izvērtējumu</w:t>
      </w:r>
      <w:proofErr w:type="spellEnd"/>
      <w:r>
        <w:rPr>
          <w:rFonts w:ascii="Times New Roman" w:hAnsi="Times New Roman" w:cs="Times New Roman"/>
          <w:color w:val="000000"/>
          <w:sz w:val="24"/>
          <w:szCs w:val="24"/>
        </w:rPr>
        <w:t xml:space="preserve"> par likumprojekta atbilstību minētajiem tiesību aktiem pēc likumprojekta anotācijas papildināšanas, precizējot (papildinot) anotācijas V sadaļu, jo īpaši tās 1. tabulu atbilstoši instrukcijas Nr. 19 VI nodaļai.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Papildus lūdzam atkārtoti pārskatīt un precizēt likumprojekta anotācijas  V sadaļas 1. tabulu, kas joprojām vairākos gadījumos aizpildīta neprecīzi vai nepilnīgi, proti: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par vairākām Eiropas Savienības direktīvu vienībām kuras norādītas likumprojekta anotācijas V sadaļas 1. punktā un kas paredz dalībvalstīm konkrētus pienākumus, nav sniegta informācija par to pārņemšanu, skatīt, piemēram, Eiropas Parlamenta un Padomes 2014. gada 15. maija direktīvas 2014/61/ES par pasākumiem ātrdarbīgu elektronisko sakaru tīklu izvēršanas izmaksu samazināšanai (turpmāk – </w:t>
      </w:r>
      <w:r>
        <w:rPr>
          <w:rFonts w:ascii="Times New Roman" w:hAnsi="Times New Roman" w:cs="Times New Roman"/>
          <w:color w:val="000000"/>
          <w:sz w:val="24"/>
          <w:szCs w:val="24"/>
        </w:rPr>
        <w:lastRenderedPageBreak/>
        <w:t>direktīva Nr. 2014/61/ES) 3. (izņemot 3. panta 2. un 6. punktu), 4., 5., 6., 7., 8., 10., 11. pantu, Eiropas Kopienas Komisijas 2002.gada 16.septembra direktīvas 2002/77/EK par konkurenci elektronisko komunikāciju tīklu un pakalpojumu tirgū 3.,5., 7., 8. pantu u.c. Norādām, ka no likumprojekta anotācijas attiecīgajai informācijai būtu jāizriet, tai skaitā arī gadījumos, kādēļ netiek pārņemtas konkrētas prasības, tai skaitā arī gadījumos, ja regulējums, ar kuru tiek pārņemtas attiecīgo direktīvu prasības, ir citu nozaru;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 B ailē nepieciešams precizēt vairākas nekorektas atsauces uz direktīvu un likumprojekta vienībām, piemēram, atsauci uz likumprojekta 32. panta trešo daļu, direktīvas Nr. 2018/1972 85. panta 7. punktu u.c.;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lang w:val="en-GB"/>
        </w:rPr>
        <w:t>3) </w:t>
      </w:r>
      <w:r>
        <w:rPr>
          <w:rFonts w:ascii="Times New Roman" w:hAnsi="Times New Roman" w:cs="Times New Roman"/>
          <w:color w:val="000000"/>
          <w:sz w:val="24"/>
          <w:szCs w:val="24"/>
        </w:rPr>
        <w:t>skaidrot 1. tabulā direktīvas Nr. 2018/1972 84., 85. (attiecībā uz šī panta 4. un 5. punktu nav sniegts skaidrojums),86., 88., 89. panta, 93. panta 2. punkta un 96. panta 3. un 4. punkta prasību pārņemšanu, vai atbilstoši precizēt 1. tabulā sniegto informāciju;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4) precizēt informāciju attiecībā uz direktīvas Nr. 2018/1972 90. panta pārņemšanu, ņemot vērā, ka minētajā pantā nav 3. punkta, turklāt minētajā direktīvas normā regulēta universālā pakalpojuma saistību finansēšana, savukārt regulējums attiecībā uz universālo pakalpojuma saistību finansēšanu ietverts likumprojekta 68. un 69. pantā;</w:t>
      </w:r>
      <w:r>
        <w:rPr>
          <w:rFonts w:ascii="Times New Roman" w:hAnsi="Times New Roman" w:cs="Times New Roman"/>
          <w:color w:val="000000"/>
          <w:sz w:val="24"/>
          <w:szCs w:val="24"/>
          <w:lang w:val="en-GB"/>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 skaidrot 1. tabulā direktīvas Nr. 2018/1972 91. panta pārņemšanu, tai skaitā ņemot vērā, ka likumprojektā nav 66. panta piektās daļas vai atbilstoši precizēt  1. tabulu;</w:t>
      </w:r>
      <w:r>
        <w:rPr>
          <w:rFonts w:ascii="Times New Roman" w:hAnsi="Times New Roman" w:cs="Times New Roman"/>
          <w:color w:val="000000"/>
          <w:sz w:val="24"/>
          <w:szCs w:val="24"/>
          <w:lang w:val="en-GB"/>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lang w:val="en-GB"/>
        </w:rPr>
        <w:t>6) </w:t>
      </w:r>
      <w:proofErr w:type="spellStart"/>
      <w:r>
        <w:rPr>
          <w:rFonts w:ascii="Times New Roman" w:hAnsi="Times New Roman" w:cs="Times New Roman"/>
          <w:color w:val="000000"/>
          <w:sz w:val="24"/>
          <w:szCs w:val="24"/>
          <w:lang w:val="en-GB"/>
        </w:rPr>
        <w:t>skaidrot</w:t>
      </w:r>
      <w:proofErr w:type="spellEnd"/>
      <w:r>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rPr>
        <w:t>1. tabulā direktīvas Nr. 2018/1972</w:t>
      </w:r>
      <w:r>
        <w:rPr>
          <w:rFonts w:ascii="Times New Roman" w:hAnsi="Times New Roman" w:cs="Times New Roman"/>
          <w:color w:val="000000"/>
          <w:sz w:val="24"/>
          <w:szCs w:val="24"/>
          <w:lang w:val="en-GB"/>
        </w:rPr>
        <w:t xml:space="preserve"> 98. </w:t>
      </w:r>
      <w:proofErr w:type="spellStart"/>
      <w:r>
        <w:rPr>
          <w:rFonts w:ascii="Times New Roman" w:hAnsi="Times New Roman" w:cs="Times New Roman"/>
          <w:color w:val="000000"/>
          <w:sz w:val="24"/>
          <w:szCs w:val="24"/>
          <w:lang w:val="en-GB"/>
        </w:rPr>
        <w:t>panta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otrās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daļas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pārņemšanu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ņemot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vērā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likumprojekta</w:t>
      </w:r>
      <w:proofErr w:type="spellEnd"/>
      <w:r>
        <w:rPr>
          <w:rFonts w:ascii="Times New Roman" w:hAnsi="Times New Roman" w:cs="Times New Roman"/>
          <w:color w:val="000000"/>
          <w:sz w:val="24"/>
          <w:szCs w:val="24"/>
          <w:lang w:val="en-GB"/>
        </w:rPr>
        <w:t xml:space="preserve"> 32. </w:t>
      </w:r>
      <w:proofErr w:type="spellStart"/>
      <w:r>
        <w:rPr>
          <w:rFonts w:ascii="Times New Roman" w:hAnsi="Times New Roman" w:cs="Times New Roman"/>
          <w:color w:val="000000"/>
          <w:sz w:val="24"/>
          <w:szCs w:val="24"/>
          <w:lang w:val="en-GB"/>
        </w:rPr>
        <w:t>panta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otrā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daļa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attiecas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uz</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mikrosabiedrībām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uz</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kurām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attiecināmas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patērētāja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tiesības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nevis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mikrouzņēmumiem</w:t>
      </w:r>
      <w:proofErr w:type="spellEnd"/>
      <w:r>
        <w:rPr>
          <w:rFonts w:ascii="Times New Roman" w:hAnsi="Times New Roman" w:cs="Times New Roman"/>
          <w:color w:val="000000"/>
          <w:sz w:val="24"/>
          <w:szCs w:val="24"/>
          <w:lang w:val="en-GB"/>
        </w:rPr>
        <w:t xml:space="preserve"> – </w:t>
      </w:r>
      <w:proofErr w:type="spellStart"/>
      <w:r>
        <w:rPr>
          <w:rFonts w:ascii="Times New Roman" w:hAnsi="Times New Roman" w:cs="Times New Roman"/>
          <w:color w:val="000000"/>
          <w:sz w:val="24"/>
          <w:szCs w:val="24"/>
        </w:rPr>
        <w:t>numurneatkarīgus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starppersonu</w:t>
      </w:r>
      <w:proofErr w:type="spellEnd"/>
      <w:r>
        <w:rPr>
          <w:rFonts w:ascii="Times New Roman" w:hAnsi="Times New Roman" w:cs="Times New Roman"/>
          <w:color w:val="000000"/>
          <w:sz w:val="24"/>
          <w:szCs w:val="24"/>
        </w:rPr>
        <w:t xml:space="preserve"> sakaru pakalpojumu sniedzējiem;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sniegt informāciju par </w:t>
      </w:r>
      <w:proofErr w:type="spellStart"/>
      <w:r>
        <w:rPr>
          <w:rFonts w:ascii="Times New Roman" w:hAnsi="Times New Roman" w:cs="Times New Roman"/>
          <w:color w:val="000000"/>
          <w:sz w:val="24"/>
          <w:szCs w:val="24"/>
          <w:lang w:val="en-GB"/>
        </w:rPr>
        <w:t>direktīvas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Nr</w:t>
      </w:r>
      <w:proofErr w:type="spellEnd"/>
      <w:r>
        <w:rPr>
          <w:rFonts w:ascii="Times New Roman" w:hAnsi="Times New Roman" w:cs="Times New Roman"/>
          <w:color w:val="000000"/>
          <w:sz w:val="24"/>
          <w:szCs w:val="24"/>
          <w:lang w:val="en-GB"/>
        </w:rPr>
        <w:t>. 2018/1972 102. </w:t>
      </w:r>
      <w:proofErr w:type="spellStart"/>
      <w:r>
        <w:rPr>
          <w:rFonts w:ascii="Times New Roman" w:hAnsi="Times New Roman" w:cs="Times New Roman"/>
          <w:color w:val="000000"/>
          <w:sz w:val="24"/>
          <w:szCs w:val="24"/>
          <w:lang w:val="en-GB"/>
        </w:rPr>
        <w:t>panta</w:t>
      </w:r>
      <w:proofErr w:type="spellEnd"/>
      <w:r>
        <w:rPr>
          <w:rFonts w:ascii="Times New Roman" w:hAnsi="Times New Roman" w:cs="Times New Roman"/>
          <w:color w:val="000000"/>
          <w:sz w:val="24"/>
          <w:szCs w:val="24"/>
          <w:lang w:val="en-GB"/>
        </w:rPr>
        <w:t xml:space="preserve"> 5. </w:t>
      </w:r>
      <w:proofErr w:type="spellStart"/>
      <w:r>
        <w:rPr>
          <w:rFonts w:ascii="Times New Roman" w:hAnsi="Times New Roman" w:cs="Times New Roman"/>
          <w:color w:val="000000"/>
          <w:sz w:val="24"/>
          <w:szCs w:val="24"/>
          <w:lang w:val="en-GB"/>
        </w:rPr>
        <w:t>punkta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pārņemšanu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ņemot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vērā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likumprojekta</w:t>
      </w:r>
      <w:proofErr w:type="spellEnd"/>
      <w:r>
        <w:rPr>
          <w:rFonts w:ascii="Times New Roman" w:hAnsi="Times New Roman" w:cs="Times New Roman"/>
          <w:color w:val="000000"/>
          <w:sz w:val="24"/>
          <w:szCs w:val="24"/>
          <w:lang w:val="en-GB"/>
        </w:rPr>
        <w:t xml:space="preserve"> 33. </w:t>
      </w:r>
      <w:proofErr w:type="spellStart"/>
      <w:r>
        <w:rPr>
          <w:rFonts w:ascii="Times New Roman" w:hAnsi="Times New Roman" w:cs="Times New Roman"/>
          <w:color w:val="000000"/>
          <w:sz w:val="24"/>
          <w:szCs w:val="24"/>
          <w:lang w:val="en-GB"/>
        </w:rPr>
        <w:t>panta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apakšvienību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nekorekto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numerāciju</w:t>
      </w:r>
      <w:proofErr w:type="spellEnd"/>
      <w:r>
        <w:rPr>
          <w:rFonts w:ascii="Times New Roman" w:hAnsi="Times New Roman" w:cs="Times New Roman"/>
          <w:color w:val="000000"/>
          <w:sz w:val="24"/>
          <w:szCs w:val="24"/>
          <w:lang w:val="en-GB"/>
        </w:rPr>
        <w:t>;</w:t>
      </w:r>
      <w:r>
        <w:rPr>
          <w:rFonts w:ascii="Times New Roman" w:hAnsi="Times New Roman" w:cs="Times New Roman"/>
          <w:color w:val="000000"/>
          <w:sz w:val="24"/>
          <w:szCs w:val="24"/>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izvērtēt, vai direktīvas Nr. 2018/1972 106. panta 6. punkts nav pārņemts arī ar likumprojekta 40. panta trešo daļu un nepieciešamības gadījumā attiecīgi papildināt anotāciju;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 papildināt likumprojekta anotācijas V sadaļas 1. tabula B aili arī ar likumprojekta pārejas noteikumu vienībām, ciktāl tās ir saistītas ar direktīvu prasību pārņemšanu (piemēram, noteiktiem termiņiem, no kuriem stājas spēkā likumprojektā minētie pienākumi u.tml.). </w:t>
      </w:r>
    </w:p>
    <w:p w:rsidR="006551FB" w:rsidP="006551FB" w:rsidRDefault="006551FB">
      <w:pPr>
        <w:ind w:right="12" w:firstLine="567"/>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lang w:val="en-GB"/>
        </w:rPr>
        <w:t>Vēršam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uzmanību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2020. </w:t>
      </w:r>
      <w:proofErr w:type="spellStart"/>
      <w:r>
        <w:rPr>
          <w:rFonts w:ascii="Times New Roman" w:hAnsi="Times New Roman" w:cs="Times New Roman"/>
          <w:color w:val="000000"/>
          <w:sz w:val="24"/>
          <w:szCs w:val="24"/>
          <w:lang w:val="en-GB"/>
        </w:rPr>
        <w:t>gada</w:t>
      </w:r>
      <w:proofErr w:type="spellEnd"/>
      <w:r>
        <w:rPr>
          <w:rFonts w:ascii="Times New Roman" w:hAnsi="Times New Roman" w:cs="Times New Roman"/>
          <w:color w:val="000000"/>
          <w:sz w:val="24"/>
          <w:szCs w:val="24"/>
          <w:lang w:val="en-GB"/>
        </w:rPr>
        <w:t xml:space="preserve"> 1. </w:t>
      </w:r>
      <w:proofErr w:type="spellStart"/>
      <w:r>
        <w:rPr>
          <w:rFonts w:ascii="Times New Roman" w:hAnsi="Times New Roman" w:cs="Times New Roman"/>
          <w:color w:val="000000"/>
          <w:sz w:val="24"/>
          <w:szCs w:val="24"/>
          <w:lang w:val="en-GB"/>
        </w:rPr>
        <w:t>oktobra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Valsts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sekretāru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sanāksmē</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nolemts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skat</w:t>
      </w:r>
      <w:proofErr w:type="spellEnd"/>
      <w:r>
        <w:rPr>
          <w:rFonts w:ascii="Times New Roman" w:hAnsi="Times New Roman" w:cs="Times New Roman"/>
          <w:color w:val="000000"/>
          <w:sz w:val="24"/>
          <w:szCs w:val="24"/>
          <w:lang w:val="en-GB"/>
        </w:rPr>
        <w:t xml:space="preserve">. VSS </w:t>
      </w:r>
      <w:proofErr w:type="spellStart"/>
      <w:r>
        <w:rPr>
          <w:rFonts w:ascii="Times New Roman" w:hAnsi="Times New Roman" w:cs="Times New Roman"/>
          <w:color w:val="000000"/>
          <w:sz w:val="24"/>
          <w:szCs w:val="24"/>
          <w:lang w:val="en-GB"/>
        </w:rPr>
        <w:t>protokolu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Nr</w:t>
      </w:r>
      <w:proofErr w:type="spellEnd"/>
      <w:r>
        <w:rPr>
          <w:rFonts w:ascii="Times New Roman" w:hAnsi="Times New Roman" w:cs="Times New Roman"/>
          <w:color w:val="000000"/>
          <w:sz w:val="24"/>
          <w:szCs w:val="24"/>
          <w:lang w:val="en-GB"/>
        </w:rPr>
        <w:t xml:space="preserve">. 39, </w:t>
      </w:r>
      <w:proofErr w:type="gramStart"/>
      <w:r>
        <w:rPr>
          <w:rFonts w:ascii="Times New Roman" w:hAnsi="Times New Roman" w:cs="Times New Roman"/>
          <w:color w:val="000000"/>
          <w:sz w:val="24"/>
          <w:szCs w:val="24"/>
          <w:lang w:val="en-GB"/>
        </w:rPr>
        <w:t>31.§</w:t>
      </w:r>
      <w:proofErr w:type="gram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turpmāk</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paziņojot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notificējot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Eiropas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Komisijai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valsts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izpildes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pasākumus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direktīvas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pārņemšanā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ministrijām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vienmēr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būs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jāpievieno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vai</w:t>
      </w:r>
      <w:proofErr w:type="spellEnd"/>
      <w:r>
        <w:rPr>
          <w:rFonts w:ascii="Times New Roman" w:hAnsi="Times New Roman" w:cs="Times New Roman"/>
          <w:color w:val="000000"/>
          <w:sz w:val="24"/>
          <w:szCs w:val="24"/>
          <w:lang w:val="en-GB"/>
        </w:rPr>
        <w:t xml:space="preserve"> nu </w:t>
      </w:r>
      <w:proofErr w:type="spellStart"/>
      <w:r>
        <w:rPr>
          <w:rFonts w:ascii="Times New Roman" w:hAnsi="Times New Roman" w:cs="Times New Roman"/>
          <w:color w:val="000000"/>
          <w:sz w:val="24"/>
          <w:szCs w:val="24"/>
          <w:lang w:val="en-GB"/>
        </w:rPr>
        <w:t>nacionālā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tiesību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akta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pārņem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attiecīgo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direktīvu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anotācija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vai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arī</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skaidrojošs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dokuments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principā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ir</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pati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anotācijas</w:t>
      </w:r>
      <w:proofErr w:type="spellEnd"/>
      <w:r>
        <w:rPr>
          <w:rFonts w:ascii="Times New Roman" w:hAnsi="Times New Roman" w:cs="Times New Roman"/>
          <w:color w:val="000000"/>
          <w:sz w:val="24"/>
          <w:szCs w:val="24"/>
          <w:lang w:val="en-GB"/>
        </w:rPr>
        <w:t xml:space="preserve"> V </w:t>
      </w:r>
      <w:proofErr w:type="spellStart"/>
      <w:r>
        <w:rPr>
          <w:rFonts w:ascii="Times New Roman" w:hAnsi="Times New Roman" w:cs="Times New Roman"/>
          <w:color w:val="000000"/>
          <w:sz w:val="24"/>
          <w:szCs w:val="24"/>
          <w:lang w:val="en-GB"/>
        </w:rPr>
        <w:t>sadaļas</w:t>
      </w:r>
      <w:proofErr w:type="spellEnd"/>
      <w:r>
        <w:rPr>
          <w:rFonts w:ascii="Times New Roman" w:hAnsi="Times New Roman" w:cs="Times New Roman"/>
          <w:color w:val="000000"/>
          <w:sz w:val="24"/>
          <w:szCs w:val="24"/>
          <w:lang w:val="en-GB"/>
        </w:rPr>
        <w:t xml:space="preserve"> 1. tabula). </w:t>
      </w:r>
      <w:proofErr w:type="spellStart"/>
      <w:r>
        <w:rPr>
          <w:rFonts w:ascii="Times New Roman" w:hAnsi="Times New Roman" w:cs="Times New Roman"/>
          <w:color w:val="000000"/>
          <w:sz w:val="24"/>
          <w:szCs w:val="24"/>
          <w:lang w:val="en-GB"/>
        </w:rPr>
        <w:t>Uzsveram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ņemot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vērā</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minēto</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šobrīd</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tiesību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aktu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projektu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pārņem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direktīvu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normas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anotāciju</w:t>
      </w:r>
      <w:proofErr w:type="spellEnd"/>
      <w:r>
        <w:rPr>
          <w:rFonts w:ascii="Times New Roman" w:hAnsi="Times New Roman" w:cs="Times New Roman"/>
          <w:color w:val="000000"/>
          <w:sz w:val="24"/>
          <w:szCs w:val="24"/>
          <w:lang w:val="en-GB"/>
        </w:rPr>
        <w:t xml:space="preserve"> V </w:t>
      </w:r>
      <w:proofErr w:type="spellStart"/>
      <w:r>
        <w:rPr>
          <w:rFonts w:ascii="Times New Roman" w:hAnsi="Times New Roman" w:cs="Times New Roman"/>
          <w:color w:val="000000"/>
          <w:sz w:val="24"/>
          <w:szCs w:val="24"/>
          <w:lang w:val="en-GB"/>
        </w:rPr>
        <w:t>sadaļām</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piešķirama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īpaša</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vērība</w:t>
      </w:r>
      <w:proofErr w:type="spellEnd"/>
      <w:r>
        <w:rPr>
          <w:rFonts w:ascii="Times New Roman" w:hAnsi="Times New Roman" w:cs="Times New Roman"/>
          <w:color w:val="000000"/>
          <w:sz w:val="24"/>
          <w:szCs w:val="24"/>
          <w:lang w:val="en-GB"/>
        </w:rPr>
        <w:t xml:space="preserve">, jo </w:t>
      </w:r>
      <w:proofErr w:type="spellStart"/>
      <w:r>
        <w:rPr>
          <w:rFonts w:ascii="Times New Roman" w:hAnsi="Times New Roman" w:cs="Times New Roman"/>
          <w:color w:val="000000"/>
          <w:sz w:val="24"/>
          <w:szCs w:val="24"/>
          <w:lang w:val="en-GB"/>
        </w:rPr>
        <w:t>tās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tiks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sūtītas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Eiropas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Komisijai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kurai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tagad</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būs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īpaši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viegli</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pārbaudīt</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direktīvu</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ieviešanas</w:t>
      </w:r>
      <w:proofErr w:type="spellEnd"/>
      <w:r>
        <w:rPr>
          <w:rFonts w:ascii="Times New Roman" w:hAnsi="Times New Roman" w:cs="Times New Roman"/>
          <w:color w:val="000000"/>
          <w:sz w:val="24"/>
          <w:szCs w:val="24"/>
          <w:lang w:val="en-GB"/>
        </w:rPr>
        <w:t xml:space="preserve"> </w:t>
      </w:r>
      <w:proofErr w:type="spellStart"/>
      <w:r>
        <w:rPr>
          <w:rFonts w:ascii="Times New Roman" w:hAnsi="Times New Roman" w:cs="Times New Roman"/>
          <w:color w:val="000000"/>
          <w:sz w:val="24"/>
          <w:szCs w:val="24"/>
          <w:lang w:val="en-GB"/>
        </w:rPr>
        <w:t>korektumu</w:t>
      </w:r>
      <w:proofErr w:type="spellEnd"/>
      <w:r>
        <w:rPr>
          <w:rFonts w:ascii="Times New Roman" w:hAnsi="Times New Roman" w:cs="Times New Roman"/>
          <w:color w:val="000000"/>
          <w:sz w:val="24"/>
          <w:szCs w:val="24"/>
          <w:lang w:val="en-GB"/>
        </w:rPr>
        <w:t>. </w:t>
      </w:r>
    </w:p>
    <w:p w:rsidR="006551FB" w:rsidP="006551FB" w:rsidRDefault="006551FB">
      <w:pPr>
        <w:spacing w:after="240"/>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Atkārtoti vēršam uzmanību, ka vairākās direktīvu normās (sk., piemēram, direktīvas Nr. 2018/1972 16. panta pirmā punkta otro daļu, 17. panta 1. punkta otro daļu, 22. panta 1. punkta trešo daļu, 25. panta 1. punktu, 26. panta 2. punktu, 51. panta 1. punkta otro daļu, 84. panta 5. punktu, 85. panta 6. punktu, 87., 88. panta 2. punktu, 92. pantu, 95. pantu, 101. panta 2. punkta pirmo daļu, 102. panta 6. un 7. punktu, 103. panta 1. punktu, 105. panta 2. punktu, 107. panta 5. punktu, 109. panta 5. punktu, 6. punktu, 110. panta 2. punktu, 113. panta 2. punktu, 114., 115. panta 2. punktu un </w:t>
      </w:r>
      <w:r>
        <w:rPr>
          <w:rFonts w:ascii="Times New Roman" w:hAnsi="Times New Roman" w:cs="Times New Roman"/>
          <w:color w:val="000000"/>
          <w:sz w:val="24"/>
          <w:szCs w:val="24"/>
        </w:rPr>
        <w:lastRenderedPageBreak/>
        <w:t xml:space="preserve">2014/61/ES 8. panta 4. punktu) dalībvalstīm ir paredzēta rīcības brīvība. Attiecīgi lūdzam sniegt skaidrojumu par rīcības brīvības izmantošanu atbilstoši instrukcijas Nr. 19 56.5. apakšpunktam, norādot konkrēto direktīvas normu, kas paredz rīcības brīvību, kādā veidā minētā rīcības brīvība ir izmantota likumprojektā, un to, kādēļ ir vai nav izmantota direktīvā Nr. 2018/1972 un Nr. 2014/61/ES paredzētā rīcības brīvība. </w:t>
      </w:r>
    </w:p>
    <w:p w:rsidR="006551FB" w:rsidP="006551FB" w:rsidRDefault="006551FB">
      <w:pPr>
        <w:ind w:right="12"/>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Vienlaikus izsakām šādus priekšlikumus: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Vēršam uzmanību, ka saskaņā ar noteikumu Nr. 108 44. punktu saīsinājumā abreviatūras neizmanto. Saīsinājumā pieļaujams izmantot vispārzināmas abreviatūras. Attiecīgi lūdzam atbilstoši precizēt likumprojektu, neizmantojot kā saīsinājumus </w:t>
      </w:r>
      <w:proofErr w:type="spellStart"/>
      <w:r>
        <w:rPr>
          <w:rFonts w:ascii="Times New Roman" w:hAnsi="Times New Roman" w:cs="Times New Roman"/>
          <w:color w:val="000000"/>
          <w:sz w:val="24"/>
          <w:szCs w:val="24"/>
        </w:rPr>
        <w:t>abreviācijas</w:t>
      </w:r>
      <w:proofErr w:type="spellEnd"/>
      <w:r>
        <w:rPr>
          <w:rFonts w:ascii="Times New Roman" w:hAnsi="Times New Roman" w:cs="Times New Roman"/>
          <w:color w:val="000000"/>
          <w:sz w:val="24"/>
          <w:szCs w:val="24"/>
        </w:rPr>
        <w:t xml:space="preserve"> (piemēram, - </w:t>
      </w:r>
      <w:r>
        <w:rPr>
          <w:rFonts w:ascii="Times New Roman" w:hAnsi="Times New Roman" w:cs="Times New Roman"/>
          <w:color w:val="000000"/>
          <w:sz w:val="24"/>
          <w:szCs w:val="24"/>
          <w:u w:val="single"/>
        </w:rPr>
        <w:t>BEREC</w:t>
      </w:r>
      <w:r>
        <w:rPr>
          <w:rFonts w:ascii="Times New Roman" w:hAnsi="Times New Roman" w:cs="Times New Roman"/>
          <w:color w:val="000000"/>
          <w:sz w:val="24"/>
          <w:szCs w:val="24"/>
        </w:rPr>
        <w:t xml:space="preserve"> likumprojekta 7. panta pirmās daļas 15. punktā), kas nav uzskatāmas par vispārzināmām.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 Lūdzam likumprojekta 29. panta ceturtajā daļā un pārejas noteikumu 13. punktā ievērot Publiskas personas kapitāla daļu un kapitālsabiedrību pārvaldības likumā lietoto terminoloģiju un nenorādīt, ka kapitālsabiedrības ir kāda subjekta īpašumā, ņemot vērā, ka kapitālsabiedrības ir tiesību subjekts, nevis tiesību objekts, bet atspoguļot konkrētus tiesību subjektus. Kā arī aicinām minētajās likumprojekta normās izslēgt vārdus “un atvasinātām publiskām”, ņemot vērā, ka ar publiskām personām saprotamas sākotnējā publisko tiesību juridiskā persona un atvasinātas publisko tiesību juridiskās personas, līdz ar to, ciktāl nav paredzētas atšķirīgas prasības atvasinātām publisko tiesību juridiskām personām, nav nepieciešams tās atsevišķi norādīt.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 Lūdzam likumprojekta 34. panta otrajā daļā izņēmumus (34. panta otrās daļas gadījumā sk. minētās daļas pēdējā teikumā normu “Šis nosacījums neattiecas uz </w:t>
      </w:r>
      <w:proofErr w:type="spellStart"/>
      <w:r>
        <w:rPr>
          <w:rFonts w:ascii="Times New Roman" w:hAnsi="Times New Roman" w:cs="Times New Roman"/>
          <w:color w:val="000000"/>
          <w:sz w:val="24"/>
          <w:szCs w:val="24"/>
        </w:rPr>
        <w:t>starppersonu</w:t>
      </w:r>
      <w:proofErr w:type="spellEnd"/>
      <w:r>
        <w:rPr>
          <w:rFonts w:ascii="Times New Roman" w:hAnsi="Times New Roman" w:cs="Times New Roman"/>
          <w:color w:val="000000"/>
          <w:sz w:val="24"/>
          <w:szCs w:val="24"/>
        </w:rPr>
        <w:t xml:space="preserve"> sakaru pakalpojumu, neizmantojot numerāciju vai M2M pakalpojumu”) skaidrāk un nepārprotamāk sasaistīt ar attiecīgu likumprojekta noteikumu. Norādām, ka, piemēram, 34. panta otrajā daļā ir apgrūtinoši saprast, uz kādu nosacījumu 34. panta otrās daļas pēdējais teikums attiecas.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4. Lūdzam pārskatīt likumprojektu un gadījumos, ja paredzēts, ka Ministru kabinets vai Regulators izdot noteikumus, lūdzam konsekventi paredzēt noteikumu Nr. 108 47. un 51. punktam atbilstošu formulējumu (piemēram, "Regulators nosaka (..)" vai "(..) nosaka Regulators")).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 Vēršam uzmanību, ka izziņā norādīts par Ministru kabineta sēdes </w:t>
      </w:r>
      <w:proofErr w:type="spellStart"/>
      <w:r>
        <w:rPr>
          <w:rFonts w:ascii="Times New Roman" w:hAnsi="Times New Roman" w:cs="Times New Roman"/>
          <w:color w:val="000000"/>
          <w:sz w:val="24"/>
          <w:szCs w:val="24"/>
        </w:rPr>
        <w:t>protokollēmuma</w:t>
      </w:r>
      <w:proofErr w:type="spellEnd"/>
      <w:r>
        <w:rPr>
          <w:rFonts w:ascii="Times New Roman" w:hAnsi="Times New Roman" w:cs="Times New Roman"/>
          <w:color w:val="000000"/>
          <w:sz w:val="24"/>
          <w:szCs w:val="24"/>
        </w:rPr>
        <w:t xml:space="preserve"> virzīšanu vienlaikus ar likumprojektu. Attiecīgi lūdzam izvērtēt un nepieciešamības gadījumā pievienot attiecīgu </w:t>
      </w:r>
      <w:proofErr w:type="spellStart"/>
      <w:r>
        <w:rPr>
          <w:rFonts w:ascii="Times New Roman" w:hAnsi="Times New Roman" w:cs="Times New Roman"/>
          <w:color w:val="000000"/>
          <w:sz w:val="24"/>
          <w:szCs w:val="24"/>
        </w:rPr>
        <w:t>protokollēmumu</w:t>
      </w:r>
      <w:proofErr w:type="spellEnd"/>
      <w:r>
        <w:rPr>
          <w:rFonts w:ascii="Times New Roman" w:hAnsi="Times New Roman" w:cs="Times New Roman"/>
          <w:color w:val="000000"/>
          <w:sz w:val="24"/>
          <w:szCs w:val="24"/>
        </w:rPr>
        <w:t>.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 Aicinām precizēt likumprojekta anotāciju. Norādām, ka direktīvas prasības tiek pārņemtas, nevis ieviestas.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 Aicinām iespēju robežās izvairīties likumprojektā ietvert atsauces uz konkrētiem likumu nosaukumiem, tā vietā izdarot atsauces uz citiem likumiem (šādā gadījumā skaidrojumu var sniegt likumprojekta anotācijā) vai normatīvajiem aktiem noteiktā jomā. Vēršam uzmanību, ka gadījumā, ja tiks izdarītas atsauces uz konkrētiem likumu nosaukumiem, tad attiecīgā normatīvā regulējuma (tai skaitā nosaukuma) izmaiņu gadījumā automātiski grozījumus būs nepieciešams veikt arī likumprojektā (likumā).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8. Lūdzam precizēt likumprojekta 24. panta otro daļu, 88. panta piekto daļu, nodrošinot skaidru tiesību normu un novēršot tehniskas kļūdas. </w:t>
      </w:r>
    </w:p>
    <w:p w:rsidR="006551FB" w:rsidP="006551FB" w:rsidRDefault="006551FB">
      <w:pPr>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Tāpat lūdzam novērst arī vairākas citas tehniskas kļūdas likumprojektā (piemēram, 4. panta pirmās daļas 5. punktā dublēts vārds “nodrošina”). </w:t>
      </w:r>
    </w:p>
    <w:p w:rsidR="006551FB" w:rsidP="006551FB" w:rsidRDefault="006551FB">
      <w:pPr>
        <w:spacing w:after="240"/>
        <w:ind w:right="12"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 Lūdzam aizpildīt likumprojekta anotācijas V sadaļas 1. punktu, norādot tajā visu instrukcijas Nr. 19 55. punktā minēto informāciju. </w:t>
      </w:r>
    </w:p>
    <w:p w:rsidR="006551FB" w:rsidP="006551FB" w:rsidRDefault="006551FB">
      <w:pPr>
        <w:spacing w:after="240"/>
        <w:ind w:right="12" w:firstLine="567"/>
        <w:jc w:val="both"/>
        <w:rPr>
          <w:rFonts w:ascii="Times New Roman" w:hAnsi="Times New Roman" w:cs="Times New Roman"/>
          <w:color w:val="000000"/>
          <w:sz w:val="24"/>
          <w:szCs w:val="24"/>
        </w:rPr>
      </w:pPr>
    </w:p>
    <w:p w:rsidR="006551FB" w:rsidP="006551FB" w:rsidRDefault="006551FB">
      <w:pPr>
        <w:pStyle w:val="NormalWeb"/>
        <w:rPr>
          <w:color w:val="000000"/>
        </w:rPr>
      </w:pPr>
      <w:r>
        <w:rPr>
          <w:color w:val="000000"/>
        </w:rPr>
        <w:t>Ar cieņu</w:t>
      </w:r>
    </w:p>
    <w:p w:rsidR="006551FB" w:rsidP="006551FB" w:rsidRDefault="006551FB">
      <w:pPr>
        <w:pStyle w:val="NormalWeb"/>
        <w:rPr>
          <w:color w:val="000000"/>
        </w:rPr>
      </w:pPr>
      <w:r>
        <w:rPr>
          <w:color w:val="000000"/>
        </w:rPr>
        <w:t> </w:t>
      </w:r>
    </w:p>
    <w:p w:rsidR="006551FB" w:rsidP="006551FB" w:rsidRDefault="006551FB">
      <w:pPr>
        <w:pStyle w:val="NormalWeb"/>
        <w:rPr>
          <w:color w:val="000000"/>
        </w:rPr>
      </w:pPr>
      <w:r>
        <w:rPr>
          <w:b/>
          <w:bCs/>
          <w:color w:val="000000"/>
        </w:rPr>
        <w:t>Viesturs Blūmentāls</w:t>
      </w:r>
    </w:p>
    <w:p w:rsidR="006551FB" w:rsidP="006551FB" w:rsidRDefault="006551FB">
      <w:pPr>
        <w:pStyle w:val="NormalWeb"/>
        <w:rPr>
          <w:color w:val="000000"/>
        </w:rPr>
      </w:pPr>
      <w:r>
        <w:rPr>
          <w:color w:val="000000"/>
        </w:rPr>
        <w:t xml:space="preserve">Tieslietu ministrijas </w:t>
      </w:r>
    </w:p>
    <w:p w:rsidR="006551FB" w:rsidP="006551FB" w:rsidRDefault="006551FB">
      <w:pPr>
        <w:pStyle w:val="NormalWeb"/>
        <w:rPr>
          <w:color w:val="000000"/>
        </w:rPr>
      </w:pPr>
      <w:r>
        <w:rPr>
          <w:color w:val="000000"/>
        </w:rPr>
        <w:t xml:space="preserve">Valststiesību departamenta </w:t>
      </w:r>
    </w:p>
    <w:p w:rsidR="006551FB" w:rsidP="006551FB" w:rsidRDefault="006551FB">
      <w:pPr>
        <w:pStyle w:val="NormalWeb"/>
        <w:rPr>
          <w:color w:val="000000"/>
        </w:rPr>
      </w:pPr>
      <w:r>
        <w:rPr>
          <w:color w:val="000000"/>
        </w:rPr>
        <w:t>Starptautisko publisko tiesību nodaļas jurists</w:t>
      </w:r>
    </w:p>
    <w:p w:rsidR="006551FB" w:rsidP="006551FB" w:rsidRDefault="006551FB">
      <w:pPr>
        <w:pStyle w:val="NormalWeb"/>
        <w:rPr>
          <w:color w:val="000000"/>
        </w:rPr>
      </w:pPr>
      <w:r>
        <w:rPr>
          <w:color w:val="000000"/>
        </w:rPr>
        <w:t>Tālr. 67036927</w:t>
      </w:r>
    </w:p>
    <w:p w:rsidR="006551FB" w:rsidP="006551FB" w:rsidRDefault="006551FB">
      <w:pPr>
        <w:pStyle w:val="NormalWeb"/>
        <w:rPr>
          <w:color w:val="000000"/>
        </w:rPr>
      </w:pPr>
      <w:r>
        <w:rPr>
          <w:color w:val="000000"/>
        </w:rPr>
        <w:t xml:space="preserve">E-pasts: </w:t>
      </w:r>
      <w:hyperlink w:tgtFrame="_blank" w:history="1" r:id="rId10">
        <w:r>
          <w:rPr>
            <w:rStyle w:val="Hyperlink"/>
            <w:color w:val="0563C1"/>
          </w:rPr>
          <w:t>viesturs.blumentals@tm.gov.lv</w:t>
        </w:r>
      </w:hyperlink>
    </w:p>
    <w:p w:rsidR="006551FB" w:rsidP="006551FB" w:rsidRDefault="006551FB">
      <w:pPr>
        <w:pStyle w:val="NormalWeb"/>
        <w:rPr>
          <w:color w:val="000000"/>
        </w:rPr>
      </w:pPr>
      <w:hyperlink w:tgtFrame="_blank" w:history="1" r:id="rId11">
        <w:r>
          <w:rPr>
            <w:rStyle w:val="Hyperlink"/>
            <w:color w:val="0563C1"/>
          </w:rPr>
          <w:t>www.tm.gov.lv</w:t>
        </w:r>
      </w:hyperlink>
    </w:p>
    <w:p w:rsidR="006551FB" w:rsidP="006551FB" w:rsidRDefault="006551FB">
      <w:pPr>
        <w:pStyle w:val="NormalWeb"/>
        <w:rPr>
          <w:color w:val="000000"/>
        </w:rPr>
      </w:pPr>
      <w:r>
        <w:rPr>
          <w:color w:val="000000"/>
        </w:rPr>
        <w:t> </w:t>
      </w:r>
    </w:p>
    <w:p w:rsidR="006551FB" w:rsidP="006551FB" w:rsidRDefault="006551FB">
      <w:pPr>
        <w:pStyle w:val="NormalWeb"/>
        <w:rPr>
          <w:color w:val="000000"/>
        </w:rPr>
      </w:pPr>
      <w:r>
        <w:rPr>
          <w:rFonts w:ascii="Arial" w:hAnsi="Arial" w:cs="Arial"/>
          <w:noProof/>
          <w:color w:val="1F497D"/>
          <w:sz w:val="20"/>
          <w:szCs w:val="20"/>
        </w:rPr>
        <w:drawing>
          <wp:inline distT="0" distB="0" distL="0" distR="0">
            <wp:extent cx="831850" cy="654050"/>
            <wp:effectExtent l="0" t="0" r="6350" b="0"/>
            <wp:docPr id="1" name="Picture 1" descr="cid:60afc9e1-8471-4b83-9f39-5817dbd0e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0afc9e1-8471-4b83-9f39-5817dbd0e242"/>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831850" cy="654050"/>
                    </a:xfrm>
                    <a:prstGeom prst="rect">
                      <a:avLst/>
                    </a:prstGeom>
                    <a:noFill/>
                    <a:ln>
                      <a:noFill/>
                    </a:ln>
                  </pic:spPr>
                </pic:pic>
              </a:graphicData>
            </a:graphic>
          </wp:inline>
        </w:drawing>
      </w:r>
    </w:p>
    <w:p w:rsidR="00817385" w:rsidRDefault="00817385">
      <w:bookmarkStart w:name="_GoBack" w:id="0"/>
      <w:bookmarkEnd w:id="0"/>
    </w:p>
    <w:sectPr w:rsidR="008173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1FB"/>
    <w:rsid w:val="006551FB"/>
    <w:rsid w:val="00817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4A496A-2B44-4748-AF8F-1AAA1761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1FB"/>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51FB"/>
    <w:rPr>
      <w:color w:val="0000FF"/>
      <w:u w:val="single"/>
    </w:rPr>
  </w:style>
  <w:style w:type="paragraph" w:styleId="NormalWeb">
    <w:name w:val="Normal (Web)"/>
    <w:basedOn w:val="Normal"/>
    <w:uiPriority w:val="99"/>
    <w:semiHidden/>
    <w:unhideWhenUsed/>
    <w:rsid w:val="006551FB"/>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Strassere@tm.gov.lv" TargetMode="External"/><Relationship Id="rId13" Type="http://schemas.openxmlformats.org/officeDocument/2006/relationships/image" Target="cid:60afc9e1-8471-4b83-9f39-5817dbd0e242" TargetMode="External"/><Relationship Id="rId3" Type="http://schemas.openxmlformats.org/officeDocument/2006/relationships/webSettings" Target="webSettings.xml"/><Relationship Id="rId7" Type="http://schemas.openxmlformats.org/officeDocument/2006/relationships/hyperlink" Target="mailto:Linda.Upite@tm.gov.lv"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ita.Birjukovska@sam.gov.lv" TargetMode="External"/><Relationship Id="rId11" Type="http://schemas.openxmlformats.org/officeDocument/2006/relationships/hyperlink" Target="http://www.tm.gov.lv" TargetMode="External"/><Relationship Id="rId5" Type="http://schemas.openxmlformats.org/officeDocument/2006/relationships/hyperlink" Target="mailto:satiksmes.ministrija@sam.gov.lv" TargetMode="External"/><Relationship Id="rId15" Type="http://schemas.openxmlformats.org/officeDocument/2006/relationships/theme" Target="theme/theme1.xml"/><Relationship Id="rId10" Type="http://schemas.openxmlformats.org/officeDocument/2006/relationships/hyperlink" Target="mailto:viesturs.blumentals@tm.gov.lv" TargetMode="External"/><Relationship Id="rId4" Type="http://schemas.openxmlformats.org/officeDocument/2006/relationships/hyperlink" Target="mailto:Viesturs.Blumentals@tm.gov.lv" TargetMode="External"/><Relationship Id="rId9" Type="http://schemas.openxmlformats.org/officeDocument/2006/relationships/hyperlink" Target="mailto:Elina.Zivtina@t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24422</Words>
  <Characters>13921</Characters>
  <Application>Microsoft Office Word</Application>
  <DocSecurity>0</DocSecurity>
  <Lines>116</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Lūsveris</dc:creator>
  <cp:keywords/>
  <dc:description/>
  <cp:lastModifiedBy>Rolands Lūsveris</cp:lastModifiedBy>
  <cp:revision>1</cp:revision>
  <dcterms:created xsi:type="dcterms:W3CDTF">2021-05-20T06:55:00Z</dcterms:created>
  <dcterms:modified xsi:type="dcterms:W3CDTF">2021-05-20T06:57:00Z</dcterms:modified>
</cp:coreProperties>
</file>