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Stratēģiskas nozīmes preču aprites subjekts veic nepieciešamos pasākumus, lai pārliecinātos par iespējamiem riskiem attiecībā uz stratēģiskas nozīmes preču gala lietotāju un gala lietojumu. Gadījumos, ja stratēģiskas nozīmes preču aprites subjektam nav zināmi stratēģiskas nozīmes preču gala lietotāji, jo stratēģiskas nozīmes preces tiek importētas vai pārvietotas no Eiropas Savienības un izliktas tirdzniecībai vēl nezināmiem gala lietotājiem, stratēģiskas nozīmes preču aprites subjekts veic iekšējo uzskaiti par katru klientu, kam attiecīgā stratēģiskas nozīmes prece tiek nodota, par ko informē komiteju pēc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likumprojekta 15. pantā nodrošināt Eiropas Parlamenta un Padomes 2021. gada 20. maija Regulas 2021/821, ar ko izveido Savienības režīmu divējāda lietojuma preču eksporta, starpniecības, tehniskās palīdzības, tranzīta un pārvadājumu kontrolei, 8. pantā (sk. 1. un 2. punktu) ietvertās prasības ieviešanu (līdzīgi kā tas šobrīd likumā jau ir noregulēts, bet izvairoties no attiecīgās regulas prasību pārrakstīšanas), kas paredz stratēģiskas nozīmes preču aprites subjekta pienākumus un iepretim tam kompetentās iestādes rīcību, izvairoties no minētās regulas prasību pārrakstīšanas, bet nepieciešamības gadījumā atsaucoties uz minēto regulas vienību (piemēram, paredzot, ka konkrētajā regulas vienībā paredzētajos gadījumos stratēģiskas nozīmes preču aprites subjekts informē komiteju, komiteja pieņem lēmumu par to, vai attiecīgajām precēm izsniegt licenci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6. pantā ietvertais regulējums par speciālo atļauju (licenci) komercdarbībai ar Eiropas Savienības Kopējā militāro preču sarakstā minētajām precēm pārreģistrāciju varētu būt pretrunā ar Ministru kabineta 2012. gada 8. maija noteikumu Nr. 331 "Kārtība, kādā izsniedz speciālās atļaujas (licences) komercdarbībai ar Eiropas Savienības Kopējā militāro preču sarakstā minētajām precēm" III nodaļā "III. Speciālās atļaujas (licences) pārreģistrācija, anulēšana vai tās darbības apturēšana" ietverto regulējumu par pārreģistrācijas biežumu, lūdzam atbilstoši papildināt likumprojekta anotācijas 4. sadaļu ar informāciju par nepieciešamību veikt grozījumus minētajos Ministru kabineta noteikumos, skaidrojot arī nepieciešamo grozījumu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55. punktā minēto atkārtoti lūdzam likumprojekta anotācijas 5. sadaļā skaidrot, kurā nacionālajā normatīvajā tiesību aktā ieviestas Padomes 2014. gada 31. jūlija Regulas (ES) Nr. 833/2014, par ierobežojošiem pasākumiem saistībā ar Krievijas darbībām, kas destabilizē situāciju Ukrainā 2.a panta 6. punkta un Padomes 2006. gada 18. maija Regulas (EK) Nr. 765/2006 par ierobežojošiem pasākumiem, ņemot vērā situāciju Baltkrievijā un Baltkrievijas iesaistīšanos Krievijas agresijā pret Ukrainu 1.f panta 6. punkta prasības. Norādām, ka atbilstoši minētajām regulām dalībvalstu pienākums ir izraudzīties kompetentās iestādes, līdz ar to minēto regulu prasības nav tieši piemērojamas un tās nepieciešams ieviest. Nepieciešamības gadījumā lūdzam attiecīgi papildināt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12.06.2024. 23.36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12.06.2024. 23.36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Atzinumi_23-TA-2700.docx</dc:title>
</cp:coreProperties>
</file>

<file path=docProps/custom.xml><?xml version="1.0" encoding="utf-8"?>
<Properties xmlns="http://schemas.openxmlformats.org/officeDocument/2006/custom-properties" xmlns:vt="http://schemas.openxmlformats.org/officeDocument/2006/docPropsVTypes"/>
</file>