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15. punkta apakšpunktus, termina ''uzņēmums'' vietā izmantojot terminu ''komersants'' (ņemot vērā, ka šis termins tiek izmantos citur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komunikācijas un vizuālās identitātes pasākumus saskaņā ar regulas 2021/1060 47. un 50. pantu un normatīvo aktu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56.2. apakšpunktā norādīta atsauce uz nesaistošiem dokumentiem (vadlīnijām). Ņemot vērā minēto, lūdzam visā noteikumu projektā svītrot atsauces uz nesaistošiem dokumentiem (vadlīnijām)un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pasākumus saskaņā ar regulas 2021/1060 47. un 50. pantu un normatīvo aktu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21.03.2024.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21.03.2024.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