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regulējums ietver arī piesārņoto un potenciāli piesārņoto vietu pārvaldību, tostarp to izpēti un sanāciju, tomēr tajā nav atrodams un apskatīts visnotaļ būtisks un no piesārņoto un potenciāli piesārņoto vietu pārvaldības nodalāms jautājums – vēsturiski piesārņotās vietas, to pārvaldība, atbildība un finansiālā atbalsta iespējas to sanācijai un atjaunošanai.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likuma 1. pantu papildināt ar jaunu punktu, ietverot termina “vēsturiski piesārņotā vieta" skaidrojumu.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“vēsturiski piesārņotā vieta – cilvēka darbības rezultātā vēsturiski piesārņota augsne, zemes dzīles un ūdens, kur faktiskais piesārņotājs vairs nav pieejams un nav arī tieša tās saistību un pienākumu pārņēmēja;”.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Balaša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12. pantā ietvertajā VI</w:t>
            </w:r>
            <w:r w:rsidR="00000000" w:rsidRPr="00000000" w:rsidDel="00000000">
              <w:rPr>
                <w:vertAlign w:val="superscript"/>
                <w:rtl w:val="0"/>
              </w:rPr>
              <w:t xml:space="preserve">2</w:t>
            </w:r>
            <w:r w:rsidR="00000000" w:rsidRPr="00000000" w:rsidDel="00000000">
              <w:rPr>
                <w:rtl w:val="0"/>
              </w:rPr>
              <w:t xml:space="preserve"> nodaļā ietvert arī vēsturiski piesārņoto vietu pārvaldības jautājumus, paredzot, ka, ja nav iespējams noteikt personas, kuras sedz ar sanāciju saistītos izdevumus, vai iegūt sanācijai nepieciešamos līdzekļus, atbildīgā institūcija nosaka nepieciešamo līdzekļu apjomu un informē Vides aizsardzības un reģionālās attīstības ministriju vai Aizsardzības ministriju par tās valdījumā esošajām teritorijām, kā arī  Vides aizsardzības un reģionālās attīstības ministrija vai Aizsardzības ministrija izskata iespēju sanācijas veikšanai piesaistīt valsts budžeta vai citus līdzekļus.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piesārņojuma sanācijas viedokļa tieši vēsturiski piesārņotas vietas ir problemātiskākās, kas skaidrojams ar augstu piesārņojuma līmeni, netipiskiem piesārņojošiem aģentiem, kā arī specifisku un dārgu tehnoloģiju piesārņojuma sanācijai nepieciešamību. Turklāt, piesārņojuma tiešais izraisītājs (radītājs) mūsdienās vairs nepastāv un nav arī tieša tās saistību un pienākumu pārņēmēja, līdz ar to nav iespējams piemērot principu ”piesārņotājs maksā”, pēc kā vadoties Latvijas Republikas Saeima ir pieņēmusi likumu “Par piesārņojumu” un Vides aizsardzības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Balaša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likumprojekta 12.pantā ietverto VI</w:t>
            </w:r>
            <w:r w:rsidR="00000000" w:rsidRPr="00000000" w:rsidDel="00000000">
              <w:rPr>
                <w:vertAlign w:val="superscript"/>
                <w:rtl w:val="0"/>
              </w:rPr>
              <w:t xml:space="preserve">2</w:t>
            </w:r>
            <w:r w:rsidR="00000000" w:rsidRPr="00000000" w:rsidDel="00000000">
              <w:rPr>
                <w:rtl w:val="0"/>
              </w:rPr>
              <w:t xml:space="preserve"> nodaļas nosaukumu jaunā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r w:rsidR="00000000" w:rsidRPr="00000000" w:rsidDel="00000000">
              <w:rPr>
                <w:b w:val="1"/>
                <w:rtl w:val="0"/>
              </w:rPr>
              <w:t xml:space="preserve">VI</w:t>
            </w:r>
            <w:r w:rsidR="00000000" w:rsidRPr="00000000" w:rsidDel="00000000">
              <w:rPr>
                <w:b w:val="1"/>
                <w:vertAlign w:val="superscript"/>
                <w:rtl w:val="0"/>
              </w:rPr>
              <w:t xml:space="preserve">2</w:t>
            </w:r>
            <w:r w:rsidR="00000000" w:rsidRPr="00000000" w:rsidDel="00000000">
              <w:rPr>
                <w:b w:val="1"/>
                <w:rtl w:val="0"/>
              </w:rPr>
              <w:t xml:space="preserve"> nodaļa. Piesārņoto, potenciāli piesārņoto un vēsturiski piesārņoto vietu pārvaldība</w:t>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Santa Balaša (SAM)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  lidostām, kurās satiksmes intensitāte ir vairāk nekā 50 000 gaisakuģu gadā;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likumprojekta 12. pantā ietvertā 35.</w:t>
            </w:r>
            <w:r w:rsidR="00000000" w:rsidRPr="00000000" w:rsidDel="00000000">
              <w:rPr>
                <w:vertAlign w:val="superscript"/>
                <w:rtl w:val="0"/>
              </w:rPr>
              <w:t xml:space="preserve">10 </w:t>
            </w:r>
            <w:r w:rsidR="00000000" w:rsidRPr="00000000" w:rsidDel="00000000">
              <w:rPr>
                <w:rtl w:val="0"/>
              </w:rPr>
              <w:t xml:space="preserve">panta pirmās daļas a) punktā ietverto terminu "gaisakuģu" atbilstoši likuma "Par aviāciju" lietotajam attiecīgajam terminam, proti, "gaisa kuģu".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Signe Ķauķīte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19.02.2024.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