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specifiskais rezultāta rādītājs: bērni ar attīstības grūtībām, nepietiekamībām vai to veidošanās risku, kuriem veicināta pozitīva attīstība un pašrealizācija, – 14 150 (kumulatīvais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nosaukumu, atbilstoši Programmā apstiprinātajam: "Bērnu ar attīstības grūtībām, nepietiekamībām vai to veidošanās risku kumulatīvais skaits, kuriem veicināta pozitīva attīstība un pašrealizācija".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"Vadlīnijām Ministru kabineta noteikumu par specifiskā atbalsta mērķa īstenošanu izstrādei Eiropas Savienības fondu 2021.—2027. gada plānošanas periodā" ir paredzēti tikai trīs rādītāju veidi (nacionālais, iznākuma un rezultāta), attiecīgi lūdzam dzēst vārdu "specifiskais".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finansējums ar elastības finansējumu ir 41 249 649 </w:t>
            </w:r>
            <w:r w:rsidR="00000000" w:rsidRPr="00000000" w:rsidDel="00000000">
              <w:rPr>
                <w:i w:val="1"/>
                <w:rtl w:val="0"/>
              </w:rPr>
              <w:t xml:space="preserve">euro</w:t>
            </w:r>
            <w:r w:rsidR="00000000" w:rsidRPr="00000000" w:rsidDel="00000000">
              <w:rPr>
                <w:rtl w:val="0"/>
              </w:rPr>
              <w:t xml:space="preserve">, ko veido Eiropas Sociālā fonda Plus finansējums 35 062 202 </w:t>
            </w:r>
            <w:r w:rsidR="00000000" w:rsidRPr="00000000" w:rsidDel="00000000">
              <w:rPr>
                <w:i w:val="1"/>
                <w:rtl w:val="0"/>
              </w:rPr>
              <w:t xml:space="preserve">euro </w:t>
            </w:r>
            <w:r w:rsidR="00000000" w:rsidRPr="00000000" w:rsidDel="00000000">
              <w:rPr>
                <w:rtl w:val="0"/>
              </w:rPr>
              <w:t xml:space="preserve">apmērā un valsts budžeta līdzfinansējums 6 187 447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finansējumu, atbilstoši ES kohēzijas politikas programmas Latvijai 2021. - 2027.gadam papildinājumā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pasākumam plānotais finansējums ir 41 795 178 euro, t.sk. . ESF+ 35 525 901 un VB 6 269 277;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pasākumam pieejamais finansējums ir 35 200 938 euro, t.sk. ESF+ 29 920 797 un VB 5 280 141.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7. punktu izteikt atbilstoši vadlīnijās Nr.1.4. "Vadlīnijas Ministru kabineta noteikumu par specifiskā atbalsta mērķa īstenošanu izstrādei"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atbildīgā iestāde no 2026. gada 1. janvāra pēc Eiropas Komisijas lēmuma par vidusposma pārskatu pieņemšanas var ierosināt palielināt par projekta īstenošanu noslēgtās vienošanās kopsummu līdz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minētajam kopējam kārtā pieejamam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kādā veidā tiks izsniegts finansējums. Piemēram,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ar sadarbības partneri slēdz attiecīgi sadarbības līgumu vai vienošanos par sadarbību (turpmāk – sadarbības līgums) atbilstoši normatīvajiem aktiem par kārtību, kādā Eiropas Savienības fondu vadībā iesaistītās institūcijas nodrošina Eiropas Savienības fondu ieviešanu 2021.–2027. gada plānošanas periodā. Sadarbības līgums nosaka savstarpējo atbildību, funkcijas, finansēšanas mehānismu, pārskatu sniegšanas kārtību un pienākumus projekta sekmīgai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14.punkta pēdējo teikumu, lai tas nedublē Ministru kabineta noteikumu "Kārtība, kādā Eiropas Savienības fondu vadībā iesaistītās institūcijas nodrošina šo fondu ieviešanu 2021.–2027.gada plānošanas periodā"(iesniegti izskatīšanai Ministru kabinetam) 6.punktā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un sadarbības partnerim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17.punktā vārdus "un sadarbības partnerim", lai nerastos interpretācijas iespēja. Vēršam uzmanību, ka noteikumu projekta 17.punktā ir noteiktas darbības, kas ir atbalstāmas projekta īstenošanā. Saskaņā ar Eiropas Savienības fondu 2021-2027.gada plānošanas perioda vadības likumu, projekta īstenošanu nodrošina finansējuma saņēmējs. Sadarbības partneris tiek piesaistīts sadarbības līguma ietvaros, līdz ar to vēršam uzmanību, ka sadarbības partnera finansējuma plānošana tiek paredzēta sadarbības līgumā. Precizējumu attiecībā uz sadarbības partneri lūdzam veikt visā noteikumu projekta tekstā. Gadījumā, ja plānots atbildības sadalījumu attiecība uz sadarbības partneri saglabāt, tad lūdzam skaidri norādīt, kuras no atbalstāmajām darbībām veiks finansējuma saņēmējs un kuras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17,5 procentu apmērā no pārējām šo noteikumu 18.2. apakšpunktā minētajām pārējām projekta tiešajām attiecināmajām īstenošanas.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lūgums skaidrot, vai, piemērojot vienoto likmi personāla izmaksām, tiks segtas arī sadarbības partneru īstenošanas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17,5 procentu apmērā no pārējām šo noteikumu 18.2. apakšpunktā minētajām pārējām projekta tiešajām attiecināmajām īstenošanas.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likmes aprēķins ir iesniegts vadošajā iestādē saskaņošanai,vēršam uzmanību, ka vienotā likme ir jānosaka bez cipariem aiz komata. Vienlaikus informējam, ka komentāri par anotācijā iekļauto informāciju par vienotās likmes aprakstu, tiks nosūtīti reizē ar likmes aprēķina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jaunradītu darba vietu aprīkojuma, biroja mēbeļu un tehnikas, datorprogrammu un licenču iegādes vai nomas izmaksas (tai skaitā aprīkojuma uzturēšanas un remonta izmaksas,) ne vairāk kā 3000 euro vienai darba vietai visā projekta īstenošanas laikā, ja projekta vadības vai īstenošanas personāls, tai skaitā sadarbības partnera personāls, ir nodarbināts projektā vismaz 30 procentu apmērā no normālā darba laika uz darba līguma pamata. Ja projekta vadības un īstenošanas personāls, tai skaitā sadarbības partnera personāls, ir nodarbināts nepilnu darba laiku vai daļlaiku, darba vietas aprīkojuma izmaksas ir attiecināmas proporcionāli atlīdzības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Finanšu ministrijas vadlīniju Nr.1.2. "Vadlīnijas attiecināmo izmaksu noteikšanai Eiropas Savienības kohēzijas politikas programmas 2021.-2027.gada plānošanas periodā" 33.punktu, daļlaika izmaksu attiecināšanas gadījumā jāņem vērā darbinieka iesaistes periods projektā pret projekta kopējo īstenošanas ilgumu. Līdz ar to lūdzam precizēt MK noteikumu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Finanšu ministrijas vadlīniju Nr.1.2. "Vadlīnijas attiecināmo izmaksu noteikšanai Eiropas Savienības kohēzijas politikas programmas 2021.-2027.gada plānošanas periodā" 9.1.apakšpunkts paredz, ka attiecīgās izmaksas ir attiecināmas arī uz gadījumiem, ja esošo darba vietu aprīkojums ir nolietojies un tiek norakstīts. Aicinām izvērtēt, vai attiecīgais apakšpunkts nebūtu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projekta izmaksas ir attiecināmas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23.punkts nosaka, ka izmaksas ir attiecināmas pirms vienošanās par projekta īstenošanu noslēgšanas, lūdzam papildināt anotāciju ar pamatojumu un MK sēdes protokollēmuma projektam pievienot punktu, kas nosaka finanšu plūsmas pirms projekta apstiprināšanas nodrošināšanas nosacījumus, kā arī atbildīgās iestādes pienākumus un atbildību gadījumos, ja pirms projekta apstiprināšanas radušās izmaksas, kas nav attiecināmas no ES fondu līdzekļiem, atbilstoši vadošās iestādes vadlīniju Nr.1.4. "Vadlīnijas Ministru kabineta noteikumu par specifiskā atbalsta mērķa īstenošanu izstrādei Eiropas Savienības fondu 2021.—2027. gada plānošanas periodā" 22.punktā noteiktam: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Atbilstoši Likuma 36. pantam MK noteikumos norāda informāciju par projektā radušos izmaksu attiecināmības termiņa sākumu, ja tas nav 2021. gada 1. janvāris. Ja projekta izmaksas paredzēts attiecināt no MK noteikumu spēkā stāšanās dienas vai pirms tam, un FS ir valsts budžeta iestāde, anotācijā ir jāsniedz pamatojums un MK noteikumu projektam ir jāpievieno MK sēdes protokollēmuma projekts, kas nosaka finanšu plūsmas pirms projekta apstiprināšanas nodrošināšanas nosacījumus, kā arī AI pienākumus un atbildību gadījumos, ja pirms projekta apstiprināšanas radušās izmaksas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projekts paredz attiecināt izmaksas, kas radušās pirms MK noteikumu apstiprināšanas, vēršam uzmanību, ka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partnerim izmaksas ir attiecināmas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sadarbības līguma noslēgšanas, bet ne agrāk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24. punktu, jo minētais punkts ir sadarbības līguma nosacījums. Gadījumā, ja minētais punkts tiks saglabāts noteikumu projektā, lūdzam skaidrot, kurš uzņemsies atbildību par izmaksām, kas būs radušās sadarbības partnerim, ja projekta iesniegumu neapstiprinās, vai sadarbības partneris būs jānomaina, ja tas neatbildīs kādam no vērtēšanas kritērijiem. Vēršam uzmanību, ka no noteikumu projekta 15.punkta izriet, ka sadarbības līgumu slēdz arī pirms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 un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 finansējuma saņēmējs plāno pārliecināties par mērķa grupas atbilstību pasākumam, ievērojot Ministru kabineta 2022.gada 13. decembra sēdes protokollēmuma (prot. Nr. 64 6. §) 3.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nosacījumu, ka finansējuma saņēmējs uzkrāj, uzskaita un iesniedz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ir atbildīgs par sadarbības partnera pienākumu izpildi projekta īstenošanā un sadarbības partnera īstenotajām funkcijām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svītrojot vārdus "Finansējuma saņēmējs ir atbildīgs par sadarbības partnera pienākumu izpildi projekta īstenošanā un sadarbības partnera īstenotajām funkcijām projektā", ņemot vērā, ka minētais dublē Ministru kabineta noteikumos "Kārtība, kādā Eiropas Savienības fondu vadībā iesaistītās institūcijas nodrošina šo fondu ieviešanu 2021.–2027.gada plānošanas periodā" (iesniegti apstiprināšanai Ministru kabinetam)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intervences kategorijām (Intervences laukums, Finansējuma veids, Teritoriālie sasniegšanas mehānismi, ESF+ sekundārās tēmas un Dzimumu līdztiesība), norādot intervences kodus un tam piemērojamo pasākuma fondu finansējuma apjomu, atbilstoši Programmā un tā papildinājumā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sadaļā "Risinājuma apraksts" ietvertais teikums "Noteikumu projekts nosaka papildu pienākumus finansējuma saņēmējam – pārliecināties, ka projekta ietvaros piešķirto finansējumu sadarbības partneris neplāno izmantot saimnieciskajai darbībai, uzsākot dalību projektā (noteikumu projekta 14.punkts), kad līdz ar sadarbības līguma noslēgšanu partnerim tiks pieprasīts apliecinājums par finansējuma piešķiršanas ierobežojumu saimnieciskās darbības veikšanai." nav korekts, jo pasākuma ietvaros plānots kā sadarbības partnerus piesaistīt biedrības un nodibinājumus, (un ir pieļaujams, ka tie var būt saimnieciskās darbības veicēji), taču ar nosacījumu, ka atlīdzības izmaksu apmērs biedrībām un nodibinājumiem nepārsniegs tirgus vērtību kā atbilstošiem jomas speciālistiem, tādējādi izslēdzot komercdarbības atbalsta 2.pazīmi (ekonomiskā priekšrocība). Līdz ar to, lūdzam dzēst nekorekto informāciju no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biedrībām un nodibinājumiem "</w:t>
            </w:r>
            <w:r w:rsidR="00000000" w:rsidRPr="00000000" w:rsidDel="00000000">
              <w:rPr>
                <w:i w:val="1"/>
                <w:rtl w:val="0"/>
              </w:rPr>
              <w:t xml:space="preserve">plānotais atlīdzības izmaksu apmērs nepārsniegs tirgus vērtību kā citiem līdzvērtīgiem atbilstošiem jomas speciālistiem</w:t>
            </w:r>
            <w:r w:rsidR="00000000" w:rsidRPr="00000000" w:rsidDel="00000000">
              <w:rPr>
                <w:rtl w:val="0"/>
              </w:rPr>
              <w:t xml:space="preserve">", skaidrojam, ka, nodrošinot to, ka biedrībām un nodibinājumiem atlīdzība par pakalpojumiem nepārsniegs tirgus cenu, tiek izslēgta komercdarbības atbalsta 2.pazīme (ekonomiskā priekšrocība), kas minēta Komercdarbības atbalsta kontroles likuma 5.panta 2.punktā, nevis ietekme uz tirdzniecību un konkurenci ES iekšējā tirgū, kas minēta Komercdarbības atbalsta kontroles likuma 5.panta 4.punktā, līdz ar to aicinām atbilstoši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uz anotācijā ietverto informāciju par komercdarbības atbalsta izslēgšanu ārstniecības personu un ārstniecības iestāžu (mērķa grupas) līmenī ar to, ka "</w:t>
            </w:r>
            <w:r w:rsidR="00000000" w:rsidRPr="00000000" w:rsidDel="00000000">
              <w:rPr>
                <w:i w:val="1"/>
                <w:rtl w:val="0"/>
              </w:rPr>
              <w:t xml:space="preserve">ārstniecības personas un ārstniecības iestādes pasākuma ietvaros </w:t>
            </w:r>
            <w:r w:rsidR="00000000" w:rsidRPr="00000000" w:rsidDel="00000000">
              <w:rPr>
                <w:i w:val="1"/>
                <w:u w:val="single"/>
                <w:rtl w:val="0"/>
              </w:rPr>
              <w:t xml:space="preserve">bez selektivitātes</w:t>
            </w:r>
            <w:r w:rsidR="00000000" w:rsidRPr="00000000" w:rsidDel="00000000">
              <w:rPr>
                <w:i w:val="1"/>
                <w:rtl w:val="0"/>
              </w:rPr>
              <w:t xml:space="preserve"> ir plā</w:t>
            </w:r>
            <w:r w:rsidR="00000000" w:rsidRPr="00000000" w:rsidDel="00000000">
              <w:rPr>
                <w:i w:val="1"/>
                <w:rtl w:val="0"/>
              </w:rPr>
              <w:t xml:space="preserve">nots iesaistīt semināros un praktiskos treniņos kompetenču stiprināšanai </w:t>
            </w:r>
            <w:r w:rsidR="00000000" w:rsidRPr="00000000" w:rsidDel="00000000">
              <w:rPr>
                <w:rtl w:val="0"/>
              </w:rPr>
              <w:t xml:space="preserve">[..]. </w:t>
            </w:r>
            <w:r w:rsidR="00000000" w:rsidRPr="00000000" w:rsidDel="00000000">
              <w:rPr>
                <w:i w:val="1"/>
                <w:rtl w:val="0"/>
              </w:rPr>
              <w:t xml:space="preserve">Papildus mērķa grupai tiks nodrošinātas izstrādātās metodikas un atbalsta materiāls, kas tiks nodrošināts </w:t>
            </w:r>
            <w:r w:rsidR="00000000" w:rsidRPr="00000000" w:rsidDel="00000000">
              <w:rPr>
                <w:i w:val="1"/>
                <w:u w:val="single"/>
                <w:rtl w:val="0"/>
              </w:rPr>
              <w:t xml:space="preserve">visām ārstniecības personām un ārstniecības iestādēm bez selektivitātes</w:t>
            </w:r>
            <w:r w:rsidR="00000000" w:rsidRPr="00000000" w:rsidDel="00000000">
              <w:rPr>
                <w:i w:val="1"/>
                <w:rtl w:val="0"/>
              </w:rPr>
              <w:t xml:space="preserve">.</w:t>
            </w:r>
            <w:r w:rsidR="00000000" w:rsidRPr="00000000" w:rsidDel="00000000">
              <w:rPr>
                <w:rtl w:val="0"/>
              </w:rPr>
              <w:t xml:space="preserve">" tiek izslēgta komercdarbības atbalsta 3.pazīme (selektivitāte), kas minēta Komercdarbības atbalsta kontroles likuma 5.panta 3.punktā, nevis ietekme uz tirdzniecību un konkurenci ES iekšējā tirgū, līdz ar to aicinām dzēst anotācijā ietverto informāciju, ka "</w:t>
            </w:r>
            <w:r w:rsidR="00000000" w:rsidRPr="00000000" w:rsidDel="00000000">
              <w:rPr>
                <w:i w:val="1"/>
                <w:rtl w:val="0"/>
              </w:rPr>
              <w:t xml:space="preserve">šis finansējums nevar ietekmēt konkurenci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Tehnisku iemeslu dēļ, sadarbības iestādes komentāri par izstrādāto noteikumu projektu nav iekļauti atzinumā un tiks sniegti papildus.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bērni vecumā līdz 18 gadiem, kuri saņēmuši atbalstu, – 2830;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svītrot piebildi "kuri saņēmuši atbalstu", ņemot vērā, Programmā un rādītāju metodoloģijas aprakstā norādīto rādītāja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KPVIS sistēmā ir iestrādāts Programmā norādītais rādītāja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nodarbinātās personas, tostarp pašnodarbinātās personas, kuras saņēmušas atbalstu, – 3750;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svītrot piebildi "kuras saņēmušas atbalstu", ņemot vērā, Programmā un rādītāju metodoloģijas aprakstā norādīto rādītāja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KPVIS sistēmā ir iestrādāts Programmā norādītais rādītāja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Eiropas Savienības fondu vadībā iesaistītās atbildīgās iestādes funkcijas pilda Valsts kanceleja (turpmāk – atbildīgā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9.punktā vārdus "Eiropas Savienības fondu vadībā iesaistītās", ņemot vērā Eiropas Savienības fondu 2021-2027.gada plānošanas perioda vadības likuma 1.panta 1.punktā noteikto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pasākuma ietvaros ir Valsts kancelejas Politikas koordinācijas departaments.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nosacījumus, ka projekta iesniedzējs, kura projekta iesniegums ir apstiprināts, ir Eiropas Sociālā fonda Plus finansējuma saņēmējs (turpmāk – finansējuma saņēmējs), lai ir nepārprotami saprotams kas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kārtību, kādā sadarbības partneris atmaksā neatbilstoši veiktos izdevumus, kurus konstatējusi Centrālā finanšu un līgumu aģentūra (turpmāk – sadarbības iestāde), un iespējami neatbilstoši veiktos izdevumus, kurus konstatējis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15.5.apakšpunktā vārdus "Centrālā finanšu un līgumu aģentūra (turpmāk – sadarbības iestāde)" ar vārdiem "sadarbības iestāde", ņemot vērā, ka iestāde, kas pilda sadarbības iestādes funkcijas ir noteikta ar Eiropas Savienības fondu 2021-2027.gada plānošanas perioda vadības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saskaņā ar projektu iesniegumu atlases nolikumu sagatavo projekta iesniegumu un iesniedz to sadarbības iestādē, izmantojot Kohēzijas politikas fondu vadības informācijas sistēmu. Ja sadarbības iestāde apstiprina projekta iesniegumu,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izsekojamību, aicinām pārcelt noteikumu projekta 16.punktu aiz noteikumu projekta 10.punkta.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anotācijā ir īsi atšifrēts visu atbalstāmo darbību, t.sk. “lokalizācijas” saturs, lai nodrošinātu viennozīmīgu izpratni par pasākuma ietvaros attiecināmajām izmaksām un to tiešu sasaisti ar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tulkošanas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 ir izstrādājusi vienības izmaksu standarta likmi par supervīzijas pakalpojumu sniegšanu, līdz ar to aicinām izvērtēt sadarbībā ar LM kā AI, vai šī likme nav izmantojama arī šajā pasākumā 19.8. apakšpunktā minētajām supervīzijas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pakalpojuma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punktu, lai nepārprotami skaidrs, ka degvielas un sabiedriskā transporta izmaksas sedzamas, piemērojot VI izstrādāto metodiku, savukārt transportlīdzekļu nomas un transporta pakalpojumu pirkšana -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pakalpojuma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uz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projekta informācijas un publicitātes pasākumu izmaksas atbilstoši normatīvajiem aktiem par Eiropas Savienības fondu ieviešanu 2021.–2027. gada plānošanas periodā un Eiropas Savienības fondu 2021.–2027. gada plānošanas perioda un Atveseļošanas fonda komunikācijas un dizaina vadlīnijām šo noteikumu </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19.13.apakšpunktā vārdus "par Eiropas Savienības fondu ieviešanu 2021.–2027. gada plānošanas periodā" ar vārdiem ", kas nosaka kārtība, kādā Eiropas Savienības fondu vadībā iesaistītās institūcijas nodrošina šo fondu ieviešanu 2021.–2027.gada plānošanas periodā", ņemot vērā plānoto nosaukumu Ministru kabineta noteikumiem "Kārtība, kādā Eiropas Savienības fondu vadībā iesaistītās institūcijas nodrošina šo fondu ieviešanu 2021.–2027.gada plānošanas periodā" (iesniegts izskatīšanai Ministru kabinetam) plānoto nosaukumu. Attiecīgu precizējumu lūdzam veikt arī pie noteikumu projekta 25.3.apakšpunkta. Papildus lūdzam papildināt apakšpunktu ar atsauci uz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projekta izmaksas ir attiecināmas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izteikt noteikumu projekta 22.punkta redakciju šādā redakcijā, lai aptvertu arī atbilstību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izmaksas ir attiecināmas, ja tās atbilst šajos noteikumos minētajām izmaksu pozīcijām un tās ir radušās ne agrāk kā par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izmaksas ir attiecināmas, ja tās atbilst šajos noteikumos minētajām izmaksu pozīcijām un tās ir radušās ne agrāk kā par 2023.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iepirkumus veic atklātā, pārredzamā, nediskriminējošā,  konkurenci nodrošinošā, un, kur attiecināms,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attiecībā uz iepirkumiem piemērot inovatīva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piecas vispārīgas un vismaz trīs specifiskas darbības, kā arī datu uzkrāšanu un ziņošanu par vismaz diviem rādītājiem, kas veicina horizontālā principa "Vienlīdzība, iekļaušana, nediskriminācija un pamattiesību ievērošana"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horizontālā principa "Vienlīdzība, iekļaušana, nediskriminācija un pamattiesību ievērošana"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28.punktu ar vārdiem "finansējuma saņēmējs" aiz vārda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saiti uz anotācijā minētajām vadlīnijām - "Vadlīnijās  atlīdzības aprēķinam, virzot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1.3.apakšsadaļā vārdus "Centrālā finanšu un līgumu aģentūra" ar vārdiem "sadarbības iestāde", ņemot vērā, ka iestāde, kas pilda sadarbības iestādes funkcijas ir noteikta ar Eiropas Savienības fondu 2021-2027.gada plānošanas perioda vadības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sadaļas "Tiesību akta projekta ietekmējamās sabiedrības grupas, ietekme uz tautsaimniecības attīstību un administratīvo slogu" 2.1. punktu "Juridiskās personas" arī ar Valsts kanceleja, kurai būs uzticēta finansējuma saņēmēja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7.punkta pirmā teikuma redakciju, norādot, ka noteikumu projekts </w:t>
            </w:r>
            <w:r w:rsidR="00000000" w:rsidRPr="00000000" w:rsidDel="00000000">
              <w:rPr>
                <w:u w:val="single"/>
                <w:rtl w:val="0"/>
              </w:rPr>
              <w:t xml:space="preserve">var</w:t>
            </w:r>
            <w:r w:rsidR="00000000" w:rsidRPr="00000000" w:rsidDel="00000000">
              <w:rPr>
                <w:rtl w:val="0"/>
              </w:rPr>
              <w:t xml:space="preserve"> ietekmēt amata vietu skaitu </w:t>
            </w:r>
            <w:r w:rsidR="00000000" w:rsidRPr="00000000" w:rsidDel="00000000">
              <w:rPr>
                <w:u w:val="single"/>
                <w:rtl w:val="0"/>
              </w:rPr>
              <w:t xml:space="preserve">Valsts kancelejā</w:t>
            </w:r>
            <w:r w:rsidR="00000000" w:rsidRPr="00000000" w:rsidDel="00000000">
              <w:rPr>
                <w:rtl w:val="0"/>
              </w:rPr>
              <w:t xml:space="preserve">, ņemot vērā, ka esošo cilvēkresursu kapacitāte vēl tikai tiks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kā anotācijas 3.sadaļas 6.punktā norādītais 2023., 2024., 2025., 2026., 2027., 2028. un 2029. gada indikatīvais finansējuma sadalījums pa avotiem neveido norādīto valsts budžeta līdzfinansējumu no kopējā attiecināmā finansējuma 5 211 222 euro apmērā un pieejamo kopējo finansējumu par noteikto elastības finansējuma summu  6 508 168 euro. Vienlaikus lūdzam precizēt anotācijas 3.sadaļas tabulas kolonnā “izmaiņas kārtējā gadā, salīdzinot ar valsts budžetu kārtējam gadam” 2023.gadā un kolonnā “izmaiņas, salīdzinot ar vidēja termiņa budžeta ietvaru” 2026.gadā norādīto precizēto finansiālo ietekmi 5.1. apakšpunktos, ņemot vērā 5.punktos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7.sadaļu ar atsauci uz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vai plānotajām investīcijām būs tieša, netieša, vai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06.07.2023.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06.07.2023.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