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1.3.apakšsadaļas “Pašreizējā situācija, problēmas un risinājumi” 5.lpp norādīto finansējuma apmēru atalgojumam (201 688 euro), attiecīgi nepieciešamības gadījumā precizējot arī netiešo izmaksu apmēru, kopējo priekšfinansējuma apmēru, kā arī Ministru kabineta sēdes protokollēmuma projekta 2.punktā norādīto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“Tiesību akta projekta ietekme uz valsts budžetu un pašvaldību budžetiem” apakšsadaļu “Cita informācija”, papildinot to ar informāciju, ka kopējais 4.2.2.4. pasākuma "Izglītības kvalitātes monitoringa sistēmas attīstība un nodrošināšana" īstenošanai plānotais finansējums tiek samazināts, norādot iemeslu, kā arī pārdalāmā finansējuma izmaiņas sadalījumā pa gadiem un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līdz vienošanās par projekta īstenošanu noslēgšanai ar Centrālo finanšu un līgumu aģentūru kā Eiropas Savienības fondu 2021.-2027.gada plānošanas perioda sadarbības iestādei (turpmāk - sadarbības iestādei) 4.2.2.4. pasākuma "Izglītības kvalitātes monitoringa sistēmas attīstība un nodrošināšana" (turpmāk - 4.2.2.4. pasākums) īstenošanai nepieciešamo finansējumu attiecināmo izmaksu segšanai Izglītības un zinātnes ministrijai kā 4.2.2.4. pasākuma projekta plānotajam finansējuma saņēmējam līdz 241 856 euro apmērā 2025. gadā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Ministru kabineta sēdes protokollēmuma projekta 2.punkta nepieciešamību, ņemot vērā, ka Ministru kabineta 2024. gada 26. novembra sēdes protokola Nr. 50 40. §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 (23-TA-1284) 3.punkts jau paredz pasākuma īstenošanai nepieciešamo priekšfinansējumu attiecināmo izmaksu segšanai Izglītības un zinātnes ministrijai kā šī projekta finansējuma saņēmējam, papildinot anotāciju ar informāciju, vai/ka iepriekš plānotais priekšfinansējums pasākuma īstenošanai vairs nav aktuāls un attiecīgi ir nepieciešams pieņemt jaunu Ministru kabineta lēmumu par tā nodrošināšanu. Tāpat vēršam uzmanību, ka 2018. gada 17. jūlija Ministru kabineta noteikumu Nr. 421 "Kārtība, kādā veic gadskārtējā valsts budžeta likumā noteiktās apropriācijas izmaiņas" 24.2. apakšpunkts paredz, ka no 80.00.00. programmas līdzekļus izņēmuma kārtā pirms Eiropas Savienības fondu projektu iesnieguma apstiprināšanas sadarbības iestādē, ja Ministru kabinets, pamatojoties uz iesniegto argumentāciju un risku analīzi, ir pieņēmis lēmumu par konkrētā plānotā projekta izdevumu priekšfinansēšanu noteiktā apjomā un izdevumu pozīcijām atbilstoši projektā izvirzītajam mērķim. Ņemot vērā minēto, anotācija ir papildināma ar Ministru kabineta protokollēmuma projekta 2.punkta sasaisti ar iepriekš pieņemto Ministru kabineta lēmumu, kā arī risku analīzi, lai ierobežotu attiecināmības riskus izdevumiem, kas tiks veikti pirms vienošanās parakstīšanas.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kuru pasākumu attiecas informācija par vienošanos ar sociālajiem un sadarbības partneriem un anotācijā minētajiem finansējuma apjomiem mācību līdzekļiem (4 995 471 euro un 1 337 870 euro), ņemot vērā, ka 4.2.2.4.pasākumā nav plānots atbalsts mācību līdzekļiem un minētais finansējums kopsummā neveido 4,8 milj. EUR, kas tiek pārdalīti uz 4.2.2.3.pasākumu;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visu pārdalāmo finansējumu norādīt atsevišķi izdalot ES fondu finansējuma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anotācijā informāciju, ka "šobrīd tiek kavēta projekta iesnieguma iesniegšana", ņemot vērā, ka 4.2.2.4.pasākuma projektu iesniegumu atlase ir atvērta līdz 19.05.2025. un gala termiņš iesniegšanai vēl nav pienācis.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pasākuma finansējuma dalījumu pa visām intervences kategorijām (Intervences laukums, Finansējuma veids, Teritoriālie sasniegšanas mehānismi, ESF+ sekundārās tēmas un Dzimumu līdztiesība), norādot intervences kodus un tam piemērojamo pasākuma fondu finansējuma apjomu, atbilstoši Programmā (2.1. sadaļa "Informācija par dalījumu par intervences kategorijām") un tās papildinājumā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nekavējoties informēt Ministru kabinetu, ja izmaksas, kas 4.2.2.4. pasākuma ietvaros veiktas pirms projekta iesnieguma apstiprināšanas, varētu netikt vai netiek attiecinātas finansēšanai no Eiropas Sociālā fonda Plus, vai, ja Eiropas Komisija neatbalsta ierosināto finansējuma pārdali uz 4.2.2.4.pasākumu plānotajā apmērā, sagatavojot attiecīgu informatīvo ziņojumu, kurā norādīts detalizēts apraksts par radušos situāciju, neatbilstības rašanās cēloņiem, finansiālo ietekmi, un sniegt fiskāli neitrālus priekšlikumus, veicot finansējuma pārdali starp Izglītības un zinātnes ministrijas budžeta programmām/apakšprogrammām, lai nodrošinātu projekta neattiecināto izdevumu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projekta 3.punktā teikuma daļu "vai, ja Eiropas Komisija neatbalsta ierosināto finansējuma pārdali uz 4.2.2.4.pasākumu plānotajā apmērā", ņemot vēra, ka 3.punkts attiecas uz izmaksu ātrāku attiecināšanu, nevis finansējuma pārdalēm starp pasākumiem. Turklāt vēršam uzmanību, ka finansējums tiek pārdalīts no 4.2.2.4.pasakuma, nevis uz 4.2.2.4.pasākumu.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nekavējoties informēt Ministru kabinetu, ja izmaksas, kas 4.2.2.4. pasākuma ietvaros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finansiālo ietekmi, un sniegt fiskāli neitrālus priekšlikumus, veicot finansējuma pārdali starp Izglītības un zinātnes ministrijas budžeta programmām/apakšprogrammām, lai nodrošinātu projekta neattiecināto izdevumu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Eiropas Komisija neatbalsta Izglītības un zinātnes ministrijas priekšlikumu grozījumiem Kohēzijas politikas programmā 2021.-2027.gadam attiecībā uz ESF+ investīcijām profesionālās ievirzes izglītības programmu īstenošanai, tad šim mērķim paredzētais finansējums 1 337 870 euro apmērā novirzāms mācību līdzekļu nodrošināšanai vispārējās izglītības satura apguvei.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4. un 5.punktu, ņemot vēra, ka tie pēc būtības škietami attiecas uz citu ES kohēzijas politikas programmas 2021.-2027.gadam pasākumu (4.2.2.3.pasākums "Mācību procesa kvalitātes pilnveide, īstenojot pedagogu profesionālās darbības atbalsta sistēmas attīstību, izglītojamo izcilības aktivitāšu nodrošināšanu un metodiskā atbalsta materiālu izstrādi pedagogam”), kā arī 4.2.2.4.pasakumā nav nevienas atbalstāmās darbības, kas paredzētu mācību līdzekļu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šobrīd Tiesību aktu portālā skaņošanā ir MK noteikumu projekts 25-TA-542 "Grozījumi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 lūdzam nosacījumus, kas attiecas uz 4.2.2.3.pasākumu, iekļaut 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līdz 2029. gada 31. decembrim veikti IKM sistēmas attīstībai nepieciešamie pētījumi, tai skaitā nozares reformu ieviešanas efektivitātes pētījumi, – seši;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sesto paragrāfu ar pamatojumu par MkN Nr. 745 4.3.2. 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Ņemot vēra 2025. gada 21. februārī Ministru prezidentes Evikas Siliņas paziņotās valdības 4x4 prioritātes 2025. gadam, ikgadējā ziņojumā Saeimai iekļauto apņemšanos 2025. gadā turpināt darbu pie birokrātijas mazināšanas pasākumiem ES fondu apguvē un publisko iepirkumu jomā, un 2024. gada 20. janvārī apstiprinātā Valsts rīcības plāna pasākuma 35.4. darbības rezultātu: pārskatītas un iespēju robežās mazinātas nacionālajos horizontālajos un specifisko atbalsta mērķu ieviešanu regulējošajos normatīvajos aktos noteiktās prasības, aicinām izvērtēt iespēju papildus samazināt nacionālo radītāju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22.2.5. veselības apdrošināšanas izmaksas finansējuma saņēmēja projekta vadības un īstenošanas personālam un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punktā minēto sadarbības partneru projekta īstenošanas personālam ir attiecināmas tikai laikposmā, kad projekta vadības un īstenošanas personāls ir nodarbināts projekta īstenošanā. Ja veselības apdrošināšana paredzēta finansējuma saņēmēja un sadarbības partnera iestādē un minētais personāls ir nodarbināts normālu darba laiku, veselības apdrošināšanas izmaksas ir attiecināmas 100 procentu apmērā. Ja projekta vadības un īstenošanas personāls ir nodarbināts nepilnu darba laiku vai daļlaiku, veselības apdrošināšanas izmaksas nosakāmas proporcionāli slodzes procentuālajam sadalījumam.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netiks izstrādāta vienkāršoto izmaksu metodika projekta vadības un īstenošanas personāla izmaksām, lūdzam izvērtēt, vai veselības apdrošināšanas izmaksas (kas minētas noteikumu projekta 22.2.5. apakšpunktā) un obligāto veselības pārbaužu izmaksas un speciālo medicīnisko optisko redzes korekcijas līdzekļu kompensācijas izmaksas (kas minētas noteikumu projekta 22.2.6. apakšpunktā) nav iespējams segt no netiešo izmaksu vienotās likmes, kas mazinātu administratīvo slogu finansējuma saņēmējam attiecībā uz izmaksu pamatojošo dokumentu iesniegšanu un sadarbības iestādēm uz šo dokumentu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22.2.14. izglītojošu un informatīvu pasākumu, sadarbības un tīklošanās pasākumu, ārvalstu izpētes vizīšu, semināru un konferenču organizēšanas un īstenošanas izmaksas, tai skaitā vietējo un ārvalstu ekspertu, lektoru un moderatoru atlīdzības izmaksas, mācību maksa, telpu noma (ja projekta atbalstāmo darbību īstenošanai nepieciešams nomāt telpas ārpus finansējuma saņēmēja telpām vai projekta īstenošanas sadarbības partnera juridiskās un faktiskās uzturēšanās adreses), tehniskā atbalsta pakalpojumu, tiešsaistes pasākumu ierakstīšanas, tulkošanas, datortehnikas un cita nepieciešamā aprīkojuma nomas izmaksas šo noteikumu </w:t>
            </w:r>
            <w:r w:rsidR="00000000" w:rsidRPr="00000000" w:rsidDel="00000000">
              <w:rPr>
                <w:rtl w:val="0"/>
              </w:rPr>
              <w:t xml:space="preserve">20.1.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20.6.</w:t>
            </w:r>
            <w:r w:rsidR="00000000" w:rsidRPr="00000000" w:rsidDel="00000000">
              <w:rPr>
                <w:rtl w:val="0"/>
              </w:rPr>
              <w:t xml:space="preserve"> un </w:t>
            </w:r>
            <w:r w:rsidR="00000000" w:rsidRPr="00000000" w:rsidDel="00000000">
              <w:rPr>
                <w:rtl w:val="0"/>
              </w:rPr>
              <w:t xml:space="preserve">20.9.</w:t>
            </w:r>
            <w:r w:rsidR="00000000" w:rsidRPr="00000000" w:rsidDel="00000000">
              <w:rPr>
                <w:rtl w:val="0"/>
              </w:rPr>
              <w:t xml:space="preserve"> apakšpunktā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redakciju, ņemot vēra, ka 22.04.2025. IZM izplatītajā preses relīzē ir norādīts uz iespējamu atteikšanos no ārvalstu ekspertu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25.04.2025.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25.04.2025.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