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Nr.49. Grozījumu pamatojumu papildināt ar teikumu: Līdz ar to, tiek svītrots mērķrādītajs Nr.49. Rindas "Komponentes un/vai pasākuma apraksts" kolonnā "Grozītā redakcija" aicinām iekļaut šādu informāciju: Svītrots rādītājs Nr.49. Rindas "Atskaites punkti un mērķrādītāji" kolonnā "Pašreizējā redakicja" aicinām norādīt: Izmaiņu nav. Savukārt, kolonnā "Grozītā redakcija" norādīt: Svītrots rādītājs Nr.49.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Nr.48. Rindas "Pasākums (reforma vai investīcija)" kolonnā "Grozītā redakcija" aicinām iekļaut šādu informāciju: Atbalstītie projekti. Rindas "Atskaites punkti un mērķrādītāji" kolonnā "Grozītā redakcija" aicinām iekļaut šādu informāciju: [..] Nosaukums: Atbalstītie projekti [..] Atskaites punkta un mērķa apraksts: Ir parakstīti grantu līgumi par atbalstu 43 projektiem pētījumiem digitālo produktu un pakalpojumu jomā, tostarp piesaistīts privātais finansējums 4 860 000 EUR atbalstītajiem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Nr.158. Rindas "Atskaites punkti un mērķrādītāji" kolonnā "Pašreizējā redakcija" aicinām iekļaut šādu informāciju: Atskaites punkta un mērķa apraksts: Programmai noslēdzoties, tiks nodrošināts: apliecinājums par finansējuma saistībām vismaz 98 miljonu EUR apmērā P&amp;A projektiem. Savukārt kolonnā "Grozītā redakcija" iekļaut šādu informāciju: Atskaites punkta un mērķa apraksts: Līgumu parakstīšana, kas apliecina Centrālās finanšu un līgumu aģentūras apstiprinātas saistības vismaz 98 miljonu EUR apmērā P&amp;A, sadarbības un internacionalizācijas projektu finansēšanai.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Nr.158. Rindas "Komponentes un/vai pasākuma apraksts " kolonnā "Pašreizējā redakcija" aicinām iekļaut šādu informāciju: Investīcijas mērķis ir palielināt privāto P&amp;A investīciju apjomu, izmantojot mērķtiecīgas publiskās investīcijas, kas veicina jaunu produktu un tehnoloģiju izstrādi, kā arī zināšanu pārnesi tautsaimniecībā. Investīcijas finansē četras programmas ar šādām orientējošām summām: i) kompetences centru atbalsta programma 25 miljonu EUR apmērā, ii) pētniecības atbalsta programma 47 miljonu EUR apmērā, iii) sadarbības tīklu atbalsta programma 5 miljonu EUR apmērā un iv) atbalsta programma dalībai svarīgos projektos visas Eiropas interesēs (IPCEI) 31 miljona EUR apmērā. Attiecībā uz i) kompetences centru atbalsta programmu organizē slēgtu uzaicinājumu sniegt atbalstu. Organizē atklātu uzaicinājumu, lai atlasītu ii) privātos starpniekus privātā sektora pētniecības un izstrādes atbalsta programmas īstenošanai, iii) starpniekus sadarbības tīklu atbalsta programmas īstenošanai un iv) projektus, kas ir tiesīgi piedalīties IPCEI. Uzsvaru liek uz pilnu inovācijas ekosistēmu veidošanu, kuras aptver esošos sadarbības tīklus, nodrošina stratēģisko specializāciju un inovācijas attīstību visā vietējā vērtību ķēdē, kas nodrošina Latvijas uzņēmumu ciešāku integrāciju globālajās vērtību ķēdēs. Atlasīto struktūru uzdevums ir īstenot i) privāto pētniecības un attīstības projektu atbalsta programmu, ii) eksporta veicināšanas aktivitātes, iii) tīklošanās un pieredzes apmaiņas aktivitātes, iv) īstenot atbalsta programmu dalībai ES līmeņa pētniecības programmās un starptautiskos sadarbības tīklos, v) īstenot atbalsta programmu Latvijas uzņēmumu iesaistei ES līmeņa industriālajās aliansēs un plānotajos IPCEI un vi) apkopot datus no atbalsta saņēmējiem, lai tos ņemtu vērā novērtēšanas un uzraudzības darbībās. Sagaidāms, ka investīcija nodrošinās jaunu inovatīvu produktu izstrādi un segs tādus izdevumus kā rūpnieciskie pētījumi, eksperimentālā izstrāde, priekšizpēte, līdzfinansējums dalībai Eiropas un starptautiskos P&amp;A projektos. Nodrošina finansējumu dalībai plānotos IPCEI, tostarp nākamās paaudzes mākoņdatošanas un perifērdatošanas jomā. Valsts aģentūra nosaka dalībai vispiemērotāko(- s) IPCEI projektu(-us) un iekļauj attiecīgus noteikumus rīcības plānā, kas pievienots šā pasākuma īstenošanai. Šo investīciju īsteno līdz 2026. gada 31. 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kolonnā "Grozītā redakcija" iekļaut šādu informāciju: Investīcijas mērķis ir stimulēt privātās investīcijas P&amp;A, kā arī zināšanu pārnesi tautsaimniecībā. Pasākums sastāv no četrām programmām, kas saistītas ar i) kompetences centriem, ii) pētniecību, iii) sadarbības tīkliem un iv) dalību Eiropai svarīgo kopīgo interešu projektos (IPCEI).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Nr.49. Rindas "Atskaites punkti un mērķrādītāji" kolonnā "Pašreizējā redakcija" aicinām iekļaut šādu informāciju: Atskaites punkta un mērķa apraksts: Privātā finansējuma summa, kas piešķirta atbalstītajiem projektiem jaunu produktu un pakalpojumu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Nr.48. Rindas "Pasākums (reforma vai investīcija)" kolonnā "Grozītā redakcija" aicinām iekļaut šādu informāciju: Atbalstītie projekti. Rindas "Atskaites punkti un mērķrādītāji" kolonnā "Grozītā redakcija" aicinām iekļaut šādu informāciju: [..] Nosaukums: Atbalstītie projekti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Nr.47. Rindas "Komponentes un/vai pasākuma apraksts" kolonnā "Grozītā redakcija" aicinām iekļaut šādu informāciju: Svītrots rādītājs Nr.47.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Nr.12. Rindas "Atskaites punkti un mērķrādītāji" kolonnā "Pašreizējā redakcija"aicinām iekļaut šādu informāciju: Atskaites punkta un mērķa apraksts: Apstiprināti projekti par vismaz 108 000 000 EUR.  Savukārt kolonnā "Grozītā redakcija" iekļaut šādu informāciju: Atskaites punkta un mērķa apraksts: Parakstīti līgumi par vismaz 101 000 000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jaunāko Eiropas Komisijas priekšlikumu attiecībā uz 1.2.1.4.i. investīcijas "Energoefektivitātes uzlabošana valsts sektora ēkās" mērķrādītāja Nr. 17 izmaiņām, Ekonomikas ministrija lūdz dzēst mērķrādītāju Nr. 17, attiecīgi lūdzam precizēt informāciju šādās sadaļās: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daļas "IEVADS PAR PAPILDINĀJUMU" 2. punkta "Papildinājuma pamatojums" pamatojumu izteikt šādā redakcijā: </w:t>
            </w:r>
            <w:r w:rsidR="00000000" w:rsidRPr="00000000" w:rsidDel="00000000">
              <w:rPr>
                <w:i w:val="1"/>
                <w:rtl w:val="0"/>
              </w:rPr>
              <w:t xml:space="preserve">"Administratīvā sloga mazināšanai un ņemot vērā Eiropas Komisijas paziņojumā Parlamentam un Padomei “NextGenerationEU – tuvojas 2026.gads” minēto, ka “plānu pārskatīšana arī būtu jāizmanto pasākumu, atskaites punktu un mērķrādītāju formulējumu pārskatīšanai, lai nodrošinātu, ka tie koncentrējas tikai uz būtiskiem elementiem”, tehniski precizēts 1.2.1.4.i. investīcijas un mērķrādītāja Nr. 18 nosaukums, apraksts, to vienkāršojot, un svītrots mērķrādītājs Nr. 17."</w:t>
            </w:r>
            <w:r w:rsidR="00000000" w:rsidRPr="00000000" w:rsidDel="00000000">
              <w:rPr>
                <w:i w:val="1"/>
                <w:rtl w:val="0"/>
              </w:rPr>
              <w:t xml:space="preserve">2. </w:t>
            </w:r>
            <w:r w:rsidR="00000000" w:rsidRPr="00000000" w:rsidDel="00000000">
              <w:rPr>
                <w:rtl w:val="0"/>
              </w:rPr>
              <w:t xml:space="preserve">2. daļas "PAPILDU UN MAINĪTO REFORMU UN INVESTĪCIJU APRAKSTS" 2.1. apakšpunkta "Mainītie pasākumi" tabulā un 2.2. apakšpunktā "Uz citu maksājuma pieprasījumu pārliktie rādītāji" dzēst informāciju par mērķrādītāju Nr. 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Una Rogule-Lazdiņa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