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Tiesa trīs darbdienu laikā pēc nolēmuma spēkā stāšanās par suņa īpašnieka vai turētāja sodīšanu saskaņā ar Krimināllikuma 230.</w:t>
            </w:r>
            <w:r w:rsidR="00000000" w:rsidRPr="00000000" w:rsidDel="00000000">
              <w:rPr>
                <w:vertAlign w:val="superscript"/>
                <w:rtl w:val="0"/>
              </w:rPr>
              <w:t xml:space="preserve">1</w:t>
            </w:r>
            <w:r w:rsidR="00000000" w:rsidRPr="00000000" w:rsidDel="00000000">
              <w:rPr>
                <w:rtl w:val="0"/>
              </w:rPr>
              <w:t xml:space="preserve"> pantu, Lauku atbalsta dienestam atzīmes izdarīšanai datubāzē pie ieraksta par konkrēto suni nosūta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skaidro, ka gala nolēmumu nosūtīšanu izpildei regulē Kriminālprocesa likuma 634. pants. Noteikumu projektā pēc būtības iekļautas procesuālās normas, kuras regulē Kriminālprocesa likums. Vienlaikus norādām, ka Kriminālprocesa 634. panta ceturtās daļas 4. punkts noteic, ka nolēmumu vai prokurora priekšrakstu nosūta institūcijai, kas ir kompetenta uzraudzīt attiecīgā tiesību ierobežojuma ievērošanu (ja tāda ir), — ja piemērota tiesību ierobežošana. Līdz ar to šajā gadījumā Noteikumu projektā 5. punkta paredzētās darbības jau ir iekļautas Kriminālprocesa likuma regulējumā un attiecīgais punkts Noteikumu projektā ir izslēdzams. Papildus tam Kriminālprocesa likuma 634. panta pirmā daļa noteic, ka spriedumu un lēmumu nodod izpildei tiesa, kas taisījusi spriedumu vai pieņēmusi lēmumu pirmajā instancē, septiņu dienu laikā pēc tā stāšanās spēkā vai lietas saņemšanas no apelācijas vai kasācijas instances tiesas. Toties šā panta otrā daļa noteic, ka prokurora priekšrakstu nodod izpildei prokuratūra, kuras prokurors to sastādījis, septiņu dienu laikā pēc šā priekšraksta stāšanās spēkā. Līdz ar to Noteikumu projekta 5. punktā noteiktās trīs dienas būtu pretrunā ar Kriminālprocesa likuma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anotācijā izdarāma atsauce uz Kriminālprocesa likuma 634. panta ceturtās daļas 4. punktu un Kriminālprocesa likuma 634. panta pirmo un otro daļu, nosakot, ka nolēmums vai priekšraksts par sodu institūcijai nosūtāms septiņu dienu laikā pēc tā stāšanās spēkā.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Patrīcija Suseja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24.07.2026.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24.07.2026.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