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veikt precizējumus </w:t>
            </w:r>
            <w:r w:rsidR="00000000" w:rsidRPr="00000000" w:rsidDel="00000000">
              <w:rPr>
                <w:rtl w:val="0"/>
              </w:rPr>
              <w:t xml:space="preserve">Informatīvā ziņojuma par Finanšu ministrijas pārziņā esošo Eiropas Savienības fondu un ārvalstu finanšu palīdzības aktualitātēm līdz 2024. gada oktobrim 5. pielikumā “ES fondu 2021. – 2027. gada plānošanas perioda MK noteikumu par specifisko atbalsta mērķu ieviešanu izstrādes laika grafika progress” atbilstoši aktuālajai situācijai. Informējam, ka lielākoties novirzes ir viena ceturkšņa ietvarā, atsevišķos gadījumos pat nemainot atlases izsludināšanas periodu vai secinot, ka termiņš indikatīvi tiek kavēts tikai par mēnesi. Nepieciešamie precizējumi un precizējumu iemesli nosūtīti ar VARAM elektroniskā pasta vēstuli ārpus TAP saskaņošanas procesa.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2024. gada 29. februāra regulu Nr. 2024/795* attiecībā uz 2014. – 2020. gada plānošanas perioda darbības programmas “Izaugsme un nodarbinātība” (turpmāk – Programma) slēgšanu ir paredzēts izmantot iepriekš minētās regulas noteiktās elastības iespējas Programmas slēgšanai. Atbilstoši Finanšu ministrijas kā Eiropas Savienības fondu vadošās iestādes sniegtajai informācijai Programmas noslēguma īstenošanas ziņojumu uzsāks gatavot gadu vēlāk, nekā tas bija iepriekš plānots, proti, 2025. gada septembrī, Eiropas Komisijai ziņojumu iesniedzot līdz 2026. gada 15. februārim. Viedās administrācijas un reģionālās attīstības ministrijai (turpmāk – VARAM) kā par horizontālā principa (turpmāk –  HP) “Ilgtspējīga attīstība” koordināciju atbildīgajai iestādei saskaņā ar Ministru kabineta (turpmāk – MK) 2022. gada 22. marta sēdes protokola Nr. 17 34. § 5. punktu, tai skaitā MK 2015. gada 24. februāra noteikumu Nr. 108** 8. punktā noteikto, izvirzīts pienākums līdz 2024. gada 6. decembrim vadošajā iestādē iesniegt analīzes kopsavilkumu par HP sasniegtajiem rādītājiem un citu ar HP saistītu informāciju. Ievērojot, ka noslēguma ziņojuma iesniegšanas termiņš noteikts par gadu garāks, lūdzam līdzvērtīgu pieeju piemērot arī attiecībā uz HP kopsavilkuma izstrādi. Tamdēļ, ievērojot iepriekš minēto, </w:t>
            </w:r>
            <w:r w:rsidR="00000000" w:rsidRPr="00000000" w:rsidDel="00000000">
              <w:rPr>
                <w:b w:val="1"/>
                <w:rtl w:val="0"/>
              </w:rPr>
              <w:t xml:space="preserve">lūdzam papildināt MK protokollēmumu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Ministru kabineta 2022. gada 22. marta sēdes protokola Nr. 17 34. paragrāfa 5. punktu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aicinām attiecīgi precizēt arī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regula (ES) 2024/795 (2024. gada 29. februāris), ar ko izveido Eiropas stratēģisko tehnoloģiju platformu (“ STEP ”) un groza Direktīvu 2003/87/EK un Regulas (ES) 2021/1058, (ES) 2021/1056, (ES) 2021/1057, (ES) Nr. 1303/2013, (ES) Nr. 223/2014, (ES) 2021/1060, (ES) 2021/523, (ES) 2021/695, (ES) 2021/697 un (ES) 2021/241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2015. gada 24. februāra noteikumi Nr. 108 “Kārtība, kādā uzrauga un izvērtē Eiropas Savienības struktūrfondu un Kohēzijas fonda ieviešanu, kā arī izveido un izmanto Kohēzijas politikas fondu vadības informācijas sistēmu 2014.–2020.gadam”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w:t>
            </w:r>
            <w:r w:rsidR="00000000" w:rsidRPr="00000000" w:rsidDel="00000000">
              <w:rPr>
                <w:rtl w:val="0"/>
              </w:rPr>
              <w:t xml:space="preserve"> Informatīvo ziņojumu par Finanšu ministrijas pārziņā esošo Eiropas Savienības fondu un ārvalstu finanšu palīdzības aktualitātēm līdz 2024. gada oktobrim atbilstoši VARAM elektroniskā pasta vēstulē sniegtajiem komentāriem ar norādi “Priekšlikums”.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par Finanšu ministrijas pārziņā esošo Eiropas Savienības fondu un ārvalstu finanšu palīdzības aktualitātēm līdz 2024. gada oktobrim 10.lpp. iekļauto pirmo Finanšu ministrijas priekšlikumu, kā mazināt atsevišķas prasības pēcuzraudzības posmā, kas kopumā mazinās administratīvo slogu arī finansējuma saņēmējiem.</w:t>
            </w:r>
            <w:r w:rsidR="00000000" w:rsidRPr="00000000" w:rsidDel="00000000">
              <w:rPr>
                <w:b w:val="1"/>
                <w:rtl w:val="0"/>
              </w:rPr>
              <w:t xml:space="preserve"> Lūdzam skaidrot</w:t>
            </w:r>
            <w:r w:rsidR="00000000" w:rsidRPr="00000000" w:rsidDel="00000000">
              <w:rPr>
                <w:rtl w:val="0"/>
              </w:rPr>
              <w:t xml:space="preserve">, vai minētais ierosinājums iekļautu arī iespēju veikt pārbaudi projekta dzīves cikla sākumposmā, ievērojot, ka finansējuma saņēmējiem var rasties neskaidrības par PSD  uzskaiti. VARAM ieskatā PSD pārbaudi būtu nepieciešams veikt ne tikai pēcuzraudzības beigās, bet arī sākumposmā (1.-2.gadā), lai, nepieciešamības gadījumā jau preventīvi tiktu novērsts neatbilstību rašanās risks nākamajos gados, kad tiks piemērots pašdeklarēšanās princips, tādējādi mazinot riskus, kas, ja tie konstatēti projekta dzīves cikla beigās, var radīt papildu slogu uz valsts vai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22.08.2024.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22.08.2024.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Atzinumi_24-TA-1915.docx</dc:title>
</cp:coreProperties>
</file>

<file path=docProps/custom.xml><?xml version="1.0" encoding="utf-8"?>
<Properties xmlns="http://schemas.openxmlformats.org/officeDocument/2006/custom-properties" xmlns:vt="http://schemas.openxmlformats.org/officeDocument/2006/docPropsVTypes"/>
</file>