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19. jūnija noteikumos Nr. 404 "Kārtība, kādā aprēķina un maksā dabas resursu nodokli, izsniedz dabas resursu lietošanas atļauju un auditē apsaimniekošanas sistēmas"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3.sadaļu, ņemot vērā izmaiņas finansējuma nodrošināšanā (t.sk. precizēt VID plānoto izdevumu sadalījumu pa gadiem (plānots, ka paredzētās izmaiņas IT sistēmās tiks veiktas jau 2023.gadā budžeta apakšprogrammas 62.09.00 “Eiropas Reģionālās attīstības fonda (ERAF) finansētie ierobežoto konkursu projekti (2014-2020)” projektam Nr.2.2.1.1/21/I/005 "Nodokļu pakalpojumu automatizācija" piešķirtā finansējuma ietvaros) un attiecīgi precizēt arī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Birša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sadaļa “V. Nodokļa maksājumu summas par dabas resursu ieguvi, par vides piesārņošanu, par zemes dzīļu derīgo īpašību izmantošanu un par radioaktīvām vielām sadale pa budžetiem” tāpat kā sadaļa “Pārskata kopsavilkums” (kas ir bez numerācijas) ir informatīva apkopojumu sadaļa. Turklāt jau tagad ir zināms, ka atbilstoši grozījumiem Dabas resursu nodokļa likumā, kas noteiks jaunus nodokļa objektus,  mainīsies DRN pārskata forma un to būs nepieciešams papildināt to ar jaunu sadaļu, kas sekos kā piektā (V.) sadaļa pirms informatīvā apkopojuma sadaļām.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mainīt piektās sadaļas nosaukumu no šī brīža “V. Nodokļa maksājumu summas par dabas resursu ieguvi, par vides piesārņošanu, par zemes dzīļu derīgo īpašību izmantošanu un par radioaktīvām vielām sadale pa budžetiem” uz “Nodokļa maksājumu summas par dabas resursu ieguvi, par vides piesārņošanu, par zemes dzīļu derīgo īpašību izmantošanu un par radioaktīvām vielām sadale pa budžetiem”, izslēdzot tās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Kucina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18.10.2023.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18.10.2023.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Atzinumi_23-TA-923.docx</dc:title>
</cp:coreProperties>
</file>

<file path=docProps/custom.xml><?xml version="1.0" encoding="utf-8"?>
<Properties xmlns="http://schemas.openxmlformats.org/officeDocument/2006/custom-properties" xmlns:vt="http://schemas.openxmlformats.org/officeDocument/2006/docPropsVTypes"/>
</file>