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Citam dzīvniekam vai cilvēkam uzbrukuša suņa turēšanas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sākotnējās ietekmes novērtējuma ziņojumā (turpmāk - anotācija) norādīts: "Iestādes – Pārtikas un veterinārais dienests, Valsts policija, pašvaldības policija vai pašvaldības administratīvā inspekcija, uzsākot administratīvā pārkāpuma procesu par likuma 58. pantā minēto pārkāpumu </w:t>
            </w:r>
            <w:r w:rsidR="00000000" w:rsidRPr="00000000" w:rsidDel="00000000">
              <w:rPr>
                <w:u w:val="single"/>
                <w:rtl w:val="0"/>
              </w:rPr>
              <w:t xml:space="preserve">vai uzsākot kriminālprocesu par Krimināllikuma 230.</w:t>
            </w:r>
            <w:r w:rsidR="00000000" w:rsidRPr="00000000" w:rsidDel="00000000">
              <w:rPr>
                <w:u w:val="single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u w:val="single"/>
                <w:rtl w:val="0"/>
              </w:rPr>
              <w:t xml:space="preserve"> pantu</w:t>
            </w:r>
            <w:r w:rsidR="00000000" w:rsidRPr="00000000" w:rsidDel="00000000">
              <w:rPr>
                <w:rtl w:val="0"/>
              </w:rPr>
              <w:t xml:space="preserve">, – trīs darbdienu laikā nodrošina, lai datubāzē pie ieraksta par konkrēto suni tiek izdarīta atzīme par administratīvā pārkāpuma procesa uzsākšanu un norādīts tā uzsākšanas datums.".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minēto anotācijā norādīto informāciju, ņemot vērā, ka saskaņā ar Kriminālprocesa likumu no uzskaitītajām institūcijām vienīgi Valsts policijai ir tiesības veikt izmeklēšanu savas kompetences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Sproģe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15.07.2026.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15.07.2026.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