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21-TA-421: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1.1.apakšpunktu, kas ir mainījies salīdzinot ar šobrīd spēkā esošo redakciju, līdz ar to ir radušās zināmas neprecizitātes un sajauktas vairākas lietas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ražotāju, pilnvaroto pārstāvju, importētāju un izplatītāju (turpmāk – iesaistītās personas), radioiekārtu uzstādītāju, turētāju un lietotāju pienākumus, radioiekārtu būtiskās prasības, prasības radioiekārtu atbilstības novērtēšanai, piedāvāšanai tirgū, uzstādīšanai  un lietošanai, un to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9.punktu, lūdzam izvērtēt vai tiešām noteikumis ir jāiekļauj Komisijas deleģētās Regulas 2022/30/ES prasības, kas būtu tieši piemērojamas neiestrādājot tās nacionālajā normatīvajā aktā, kā arī izvērtēt iespējamu atsauci uz šo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katram komersanta veidam ir nepieciešama atsevišķa nodaļu (spēkā esoša redakcija), pamatojoties uz Direktīvā 2014/53/ES un Lēmumā 768/2008 noteiktajām prasībām, tad lūdzam atkārtoti izvērtēt noteikumu projekta 2.3. nodaļu " 2.3. Ražotāja un pilnvarotā pārstāvja pienākumi laižot radioiekārtas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2.4. un 2.5. nodaļu nosaukumus, ņemot vērā, ka importētāja un izplatītāja pienākumi neierobežojās tikai ar radioiekārtas laišanu tirgū vai piedāvāšanu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2.7.nodaļas nosaukumu "Iesaistīto personu identifikācija".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Iesaistīto personu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38. punkta otro teikumu, kas paredz izpētes veikšanas termiņu, kas nepārsniedz vienu mēnesi ņemot vērā, ka šis ir divu juridisko personu attiecības un Direktīva nenosaka šādu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noteikumu projekta punktu un iekšējo atsauču numurāciju.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28.11.2022.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28.11.2022.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Atzinumi_21-TA-421.docx</dc:title>
</cp:coreProperties>
</file>

<file path=docProps/custom.xml><?xml version="1.0" encoding="utf-8"?>
<Properties xmlns="http://schemas.openxmlformats.org/officeDocument/2006/custom-properties" xmlns:vt="http://schemas.openxmlformats.org/officeDocument/2006/docPropsVTypes"/>
</file>