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aprīļa noteikumos Nr. 241 "Noteikumi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apgūstamas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Ministru komitejas pamatnostādnes par bērniem draudzīgu tiesu sistēmu </w:t>
            </w:r>
            <w:r w:rsidR="00000000" w:rsidRPr="00000000" w:rsidDel="00000000">
              <w:rPr>
                <w:i w:val="1"/>
                <w:rtl w:val="0"/>
              </w:rPr>
              <w:t xml:space="preserve">(Eiropas Komisija, Eiropas Padome un Tieslietu ģenerāldirektorāts, Eiropas Padomes Ministru komitejas pamatnostādnes par bērniem draudzīgu tiesu sistēmu:</w:t>
            </w:r>
            <w:r w:rsidR="00000000" w:rsidRPr="00000000" w:rsidDel="00000000">
              <w:rPr>
                <w:rtl w:val="0"/>
              </w:rPr>
              <w:t xml:space="preserve"> </w:t>
            </w:r>
            <w:r w:rsidR="00000000" w:rsidRPr="00000000" w:rsidDel="00000000">
              <w:rPr>
                <w:i w:val="1"/>
                <w:rtl w:val="0"/>
              </w:rPr>
              <w:t xml:space="preserve">pamatnostādnes kopā ar paskaidrojuma rakstu pieņēmusi Eiropas Padomes Ministru komiteja 2010.</w:t>
            </w:r>
            <w:r w:rsidR="00000000" w:rsidRPr="00000000" w:rsidDel="00000000">
              <w:rPr>
                <w:rtl w:val="0"/>
              </w:rPr>
              <w:t xml:space="preserve"> </w:t>
            </w:r>
            <w:r w:rsidR="00000000" w:rsidRPr="00000000" w:rsidDel="00000000">
              <w:rPr>
                <w:i w:val="1"/>
                <w:rtl w:val="0"/>
              </w:rPr>
              <w:t xml:space="preserve">gada 17.</w:t>
            </w:r>
            <w:r w:rsidR="00000000" w:rsidRPr="00000000" w:rsidDel="00000000">
              <w:rPr>
                <w:rtl w:val="0"/>
              </w:rPr>
              <w:t xml:space="preserve"> </w:t>
            </w:r>
            <w:r w:rsidR="00000000" w:rsidRPr="00000000" w:rsidDel="00000000">
              <w:rPr>
                <w:i w:val="1"/>
                <w:rtl w:val="0"/>
              </w:rPr>
              <w:t xml:space="preserve">novembrī, Publikāciju birojs, 2015, https://data.europa.eu/doi/10.2838/99239)</w:t>
            </w:r>
            <w:r w:rsidR="00000000" w:rsidRPr="00000000" w:rsidDel="00000000">
              <w:rPr>
                <w:rtl w:val="0"/>
              </w:rPr>
              <w:t xml:space="preserve"> paredz, ka visiem speciālistiem, kas strādā ar bērniem un bērnu labā, būtu jāapgūst nepieciešamās starpdisciplīnu zināšanas par dažādu vecuma grupu bērnu tiesībām un vajadzībām un bērniem pielāgotu tiesas procesu. Speciālistiem, kam ir tieša saskarsme ar bērniem, būtu jāapgūst arī komunikācijas prasmes ar dažāda vecuma un attīstības pakāpes bērniem un bērniem, kas atrodas īpašas neaizsargātības situācijās (piemēram, migrantu bērniem, nepilngadīgiem bēgļiem un patvēruma meklētājiem, bērniem bez pavadoņa, bērniem ar invaliditāti, bezpajumtes un ielu bērniem, romu bērniem un bērniem no bērnu aprūpes iestādēm). Kā paredzēts pamatnostādnē Nr. 14, visiem profesionāļiem, kas strādā ar bērniem (policistiem, advokātiem, tiesnešiem, mediatoriem, sociālajiem darbiniekiem un citiem speciālistiem), ir jāapgūst komunikācijas prasmes un bērniem draudzīgas valodas lietošana un jāpilnveido zināšanas bērnu psiholoģijas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svarīgi, lai nodrošinātu bērniem draudzīgu tiesisko vidi un bērniem draudzīgu tiesu sistēmu (plašākā nozīmē), proti, tā neaptver vienīgi faktisko tiesu sistēmu un tiesas procesu. Tā attiecas uz visiem speciālistiem, kas tiesas un ārpustiesas procedūrās saskaras ar bērniem. Par to, lai tiesu sistēma kļūtu bērniem draudzīgāka, atbild arī tādas nozares kā policija, sociālie un garīgās veselības aprūpes dienesti. Pamatnostādnes cenšas nodrošināt, lai visi šie profesionāļi zinātu un apzinīgi ievērotu bērnu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2024. gada 16. aprīļa noteikumu Nr. 241 "Noteikumi par kārtību, kādā apgūstamas speciālās zināšanas bērnu tiesību aizsardzības jomā, šo zināšanu saturu un apjomu" (turpmāk – noteikumi) spēkā esošās redakcijas un arī Ministru kabineta noteikumu projektā "Grozījumi Ministru kabineta 2024. gada 16. aprīļa noteikumos Nr. 241 "Noteikumi par kārtību, kādā apgūstamas speciālās zināšanas bērnu tiesību aizsardzības jomā, šo zināšanu saturu un apjomu"" (turpmāk – projekts) paredzētajiem grozījumiem nav secināms, vai spēkā esošais regulējums nodrošina apmācību saturu (bērnu tiesības, vajadzības, komunikācijas prasmes, bērniem draudzīgas valodas lietošana): 1) atkarībā no bērnu vecuma un attīstības pakāpes, kā arī bērniem, kas atrodas īpašas neaizsargātības situācijās; 2) bērnu psiholoģijas jomā. Ievērojot minēto, lūdzam minēto aspektu izvērtēt un, ja nepieciešams paredzēt attiecīgu regulējumu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apgūstamas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tiesisks uzraudzības (kvalitātes pārbaudes dabā) risinājums situācijām, kad, piemēram, mācību programma formāli atbilst noteikumu prasībām, kā arī pasniedzējs atbilst formālajām normatīvo aktu prasībām, bet mācību gaitā tiek secināts, ka mācību saturs, pasniedzējas paustais viedoklis un gadījumu analīze ir pretrunā ar bērnu tiesību aizsardzības sistēmas pamatprincipiem un neatbilst profesionālās ētikas normām. Ja šāda uzraudzības risinājuma (kvalitātes pārbaudes dabā) nav, faktiski var nenormēti ilgi turpināties apmācību prakse, kas neatbilst bērnu tiesību aizsardzības sistēmas pamatprincipiem un profesionālās ētikas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tiesiskais regulējums bērnu tiesību aizsardzībā,tostarp bērnu drošības nodrošināšanā sabiedriskajā darbā, izlīguma procesā vai resocializācijas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vērš uzmanību, ka nepieciešams pārskatīt 13.</w:t>
            </w:r>
            <w:r w:rsidR="00000000" w:rsidRPr="00000000" w:rsidDel="00000000">
              <w:rPr>
                <w:vertAlign w:val="superscript"/>
                <w:rtl w:val="0"/>
              </w:rPr>
              <w:t xml:space="preserve">1</w:t>
            </w:r>
            <w:r w:rsidR="00000000" w:rsidRPr="00000000" w:rsidDel="00000000">
              <w:rPr>
                <w:rtl w:val="0"/>
              </w:rPr>
              <w:t xml:space="preserve">1. apakšpunkta redakciju, precizējot sabiedriskā darba nosaukumu, kā arī izlīguma procesu sasaistot ar resocializācijas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1.tiesiskais regulējums un aspekti bērnu tiesību aizsardzības jomā, tostarp bērnu tiesību aizsardzība kriminālsoda vai audzinoša rakstura piespiedu līdzekļa – sabiedriskais darbs – izpildē, vai izlīguma un resocializācijas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ja tiek ņemta vērā Valsts probācijas piedāvātā redakcija, tad būtu svītrojams 13.</w:t>
            </w:r>
            <w:r w:rsidR="00000000" w:rsidRPr="00000000" w:rsidDel="00000000">
              <w:rPr>
                <w:vertAlign w:val="superscript"/>
                <w:rtl w:val="0"/>
              </w:rPr>
              <w:t xml:space="preserve">1</w:t>
            </w:r>
            <w:r w:rsidR="00000000" w:rsidRPr="00000000" w:rsidDel="00000000">
              <w:rPr>
                <w:rtl w:val="0"/>
              </w:rPr>
              <w:t xml:space="preserve">2. apakšpunkts, jo pēc būtības 13.</w:t>
            </w:r>
            <w:r w:rsidR="00000000" w:rsidRPr="00000000" w:rsidDel="00000000">
              <w:rPr>
                <w:vertAlign w:val="superscript"/>
                <w:rtl w:val="0"/>
              </w:rPr>
              <w:t xml:space="preserve">1</w:t>
            </w:r>
            <w:r w:rsidR="00000000" w:rsidRPr="00000000" w:rsidDel="00000000">
              <w:rPr>
                <w:rtl w:val="0"/>
              </w:rPr>
              <w:t xml:space="preserve">1. apakšpunktā ietvertais regulējums aptvers abos apakšpunktos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un aspekti bērnu tiesību aizsardzības jomā, tostarp bērnu tiesību aizsardzība kriminālsoda vai audzinoša rakstura piespiedu līdzekļa – sabiedriskais darbs – izpildē, vai izlīguma un resocializācijas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bērnu tiesību aizsardzības, tostarp bērnu drošības nodrošināšanas aspekti sabiedriskajā darbā, izlīguma procesā un resocializācijas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ieskatā konkrētais apakšpunkts būtu svītrojams, ja atbilstoši Valsts probācijas dienesta norādītajam iebildumam pie 13.</w:t>
            </w:r>
            <w:r w:rsidR="00000000" w:rsidRPr="00000000" w:rsidDel="00000000">
              <w:rPr>
                <w:vertAlign w:val="superscript"/>
                <w:rtl w:val="0"/>
              </w:rPr>
              <w:t xml:space="preserve">1</w:t>
            </w:r>
            <w:r w:rsidR="00000000" w:rsidRPr="00000000" w:rsidDel="00000000">
              <w:rPr>
                <w:rtl w:val="0"/>
              </w:rPr>
              <w:t xml:space="preserve">1. apakšpunkta, tas tiek precizēts atbilstoši piedāvātajai redakcijai, jo pēc būtības 13.</w:t>
            </w:r>
            <w:r w:rsidR="00000000" w:rsidRPr="00000000" w:rsidDel="00000000">
              <w:rPr>
                <w:vertAlign w:val="superscript"/>
                <w:rtl w:val="0"/>
              </w:rPr>
              <w:t xml:space="preserve">1</w:t>
            </w:r>
            <w:r w:rsidR="00000000" w:rsidRPr="00000000" w:rsidDel="00000000">
              <w:rPr>
                <w:rtl w:val="0"/>
              </w:rPr>
              <w:t xml:space="preserve">1. apakšpunktā ietvertais regulējums aptvers arī šajā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Pēc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punktā minētā iesnieguma saņemšanas centrs lemj par darba devēja, Valsts probācijas dienesta vai iestādes, kura organizē vai vēlas organizēt mācības, izvēlētā pasniedzēja saskaņošanu, ja tas atbilst šo noteikumu </w:t>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vai </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punktā noteiktajām prasībām, vai sagatavo atteikumu. Centra amatpersonas izdoto administratīvo aktu vai faktisko rīcību var apstrīdēt centra vadītājam. Centra vadītāja lēmumu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1. panta trešajā daļā noteiktajam </w:t>
            </w:r>
            <w:r w:rsidR="00000000" w:rsidRPr="00000000" w:rsidDel="00000000">
              <w:rPr>
                <w:u w:val="single"/>
                <w:rtl w:val="0"/>
              </w:rPr>
              <w:t xml:space="preserve">administratīvais akts ir uz āru vērsts tiesību akts, ko iestāde izdod publisko tiesību jomā attiecībā uz individuāli noteiktu personu vai personām, nodibinot, grozot, konstatējot vai izbeidzot konkrētas tiesiskās attiecības vai konstatējot faktisko situāciju</w:t>
            </w:r>
            <w:r w:rsidR="00000000" w:rsidRPr="00000000" w:rsidDel="00000000">
              <w:rPr>
                <w:rtl w:val="0"/>
              </w:rPr>
              <w:t xml:space="preserve">. Administratīvais akts ir arī tāds lēmums, kuru likumā paredzētajos gadījumos iestāde izdod attiecībā uz individuāli nenoteiktu personu loku, kas atrodas konkrētos un identificējamos apstākļos (vispārīgais administratīvais akts). Administratīvais akts ir arī lēmums par amatpersonas vai iestādei īpaši pakļautas personas tiesiskā statusa nodibināšanu, maiņu, izbeigšanu un šīs personas disciplināro sodīšanu, kā arī cits lēmums, ja tas būtiski ierobežo amatpersonas vai iestādei īpaši pakļautas personas cilvēktiesības. </w:t>
            </w:r>
            <w:r w:rsidR="00000000" w:rsidRPr="00000000" w:rsidDel="00000000">
              <w:rPr>
                <w:u w:val="single"/>
                <w:rtl w:val="0"/>
              </w:rPr>
              <w:t xml:space="preserve">Amatpersona šīs daļas izpratnē nav iestādes darbinieks, ar kuru atbilstoši normatīvajiem aktiem dibināmas darba tiesiskās attiecības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paredzētā noteikumu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punktā ietvertā regulējuma izriet, ka tiek ierosināta administratīvā lieta Bērnu aizsardzības centrā, pamatojoties uz darba devēja, Valsts probācijas dienesta vai iestādes, kura organizē vai vēlas organizēt mācības, izvēlētā pasniedzēja saskaņošanu. Līdz ar to tiek izdots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no projektā paredzētā noteikumu 14.</w:t>
            </w:r>
            <w:r w:rsidR="00000000" w:rsidRPr="00000000" w:rsidDel="00000000">
              <w:rPr>
                <w:vertAlign w:val="superscript"/>
                <w:rtl w:val="0"/>
              </w:rPr>
              <w:t xml:space="preserve">2</w:t>
            </w:r>
            <w:r w:rsidR="00000000" w:rsidRPr="00000000" w:rsidDel="00000000">
              <w:rPr>
                <w:rtl w:val="0"/>
              </w:rPr>
              <w:t xml:space="preserve"> punktā ietvertā regulējuma izriet, ka iesnieguma iesniedzējs un administratīvā akta adresāts ir darba devējs, Valsts probācijas dienests vai iestāde, kura organizē vai vēlas organizēt mācības, nevis noteikta persona vai personas. Turklāt personas (t.i., pasniedzēji) nav darba devēja, Valsts probācijas dienesta vai iestāžu, kuras organizē vai vēlas organizēt mācības,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14.</w:t>
            </w:r>
            <w:r w:rsidR="00000000" w:rsidRPr="00000000" w:rsidDel="00000000">
              <w:rPr>
                <w:vertAlign w:val="superscript"/>
                <w:rtl w:val="0"/>
              </w:rPr>
              <w:t xml:space="preserve">1</w:t>
            </w:r>
            <w:r w:rsidR="00000000" w:rsidRPr="00000000" w:rsidDel="00000000">
              <w:rPr>
                <w:rtl w:val="0"/>
              </w:rPr>
              <w:t xml:space="preserve">, 14.</w:t>
            </w:r>
            <w:r w:rsidR="00000000" w:rsidRPr="00000000" w:rsidDel="00000000">
              <w:rPr>
                <w:vertAlign w:val="superscript"/>
                <w:rtl w:val="0"/>
              </w:rPr>
              <w:t xml:space="preserve">2</w:t>
            </w:r>
            <w:r w:rsidR="00000000" w:rsidRPr="00000000" w:rsidDel="00000000">
              <w:rPr>
                <w:rtl w:val="0"/>
              </w:rPr>
              <w:t xml:space="preserve"> un 20. punktā ietvertā regulējuma atbilstību Administratīvā procesa likumā ietvertajam regulējumam un attiecīgi precizēt projektu, kā arī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Pēc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punktā minētā iesnieguma saņemšanas centrs lemj par darba devēja, Valsts probācijas dienesta vai iestādes, kura organizē vai vēlas organizēt mācības, izvēlētā pasniedzēja saskaņošanu, ja tas atbilst šo noteikumu </w:t>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vai </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punktā noteiktajām prasībām, vai sagatavo atteikumu. Centra amatpersonas izdoto administratīvo aktu vai faktisko rīcību var apstrīdēt centra vadītājam. Centra vadītāja lēmumu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tiesību normā vai anotācijā skaidrojumu par Bērnu aizsardzības centru lēmumā iekļautās atļaujas (saskaņojuma) darbības termiņu. Minētais nepieciešams tiesiskai noteiktībai, lai apzinātu, vai pirms katru mācību organizēšanas ir nepieciešams Bērnu aizsardzības centra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tiesisko noteiktību un pareizu tiesību normas iztulkošanu, lūdzam papildināt anotācijas 1. sadaļas 1.3. punktu ar skaidrojumu, kas tiek saprasts ar "mācīšanu" akadēmiskās darba pieredzes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 visām iestādēm izglītojošas darbības veikšana ir noteikta tieši nolikumā, bet gan var tikt paredzēta arī kādā citā normatīvajā aktā (skat., piemēram, Tieslietu akadēmijas likumu), aicinājums vārdu "nolikums" aizstāt ar, piemēram, vārdiem "normatīvais akts".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Kļaviņa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apgūstamas speciālās zināšanas bērnu tiesību aizsardzības jomā, šo zināšanu saturu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90. punkts noteic, ka</w:t>
            </w:r>
            <w:r w:rsidR="00000000" w:rsidRPr="00000000" w:rsidDel="00000000">
              <w:rPr>
                <w:u w:val="single"/>
                <w:rtl w:val="0"/>
              </w:rPr>
              <w:t xml:space="preserve"> Ministru kabineta noteikumu projekta nosaukumu veido iespējami īsu un atbilstošu likumā noteiktajam pilnvarojumam Ministru kabinetam un noteikumu saturam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papildināt projektu ar grozījumu noteikumos, kas paredz precizēt noteikumu nosaukumu atbilstoši Bērnu tiesību aizsardzības likuma 5.</w:t>
            </w:r>
            <w:r w:rsidR="00000000" w:rsidRPr="00000000" w:rsidDel="00000000">
              <w:rPr>
                <w:vertAlign w:val="superscript"/>
                <w:rtl w:val="0"/>
              </w:rPr>
              <w:t xml:space="preserve">1</w:t>
            </w:r>
            <w:r w:rsidR="00000000" w:rsidRPr="00000000" w:rsidDel="00000000">
              <w:rPr>
                <w:rtl w:val="0"/>
              </w:rPr>
              <w:t xml:space="preserve"> panta otrajā un trešajā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apjomu un to apguves organizēšanas kārtību, kā arī prasības pasniedzējiem.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w:t>
            </w:r>
            <w:r w:rsidR="00000000" w:rsidRPr="00000000" w:rsidDel="00000000">
              <w:rPr>
                <w:u w:val="single"/>
                <w:rtl w:val="0"/>
              </w:rPr>
              <w:t xml:space="preserve">Ministru kabineta noteikumu projekta pirmajā punktā secīgi raksta vārdus "noteikumi nosaka" un 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 punktu atbilstoši Bērnu tiesību aizsardzības likuma 5.</w:t>
            </w:r>
            <w:r w:rsidR="00000000" w:rsidRPr="00000000" w:rsidDel="00000000">
              <w:rPr>
                <w:vertAlign w:val="superscript"/>
                <w:rtl w:val="0"/>
              </w:rPr>
              <w:t xml:space="preserve">1</w:t>
            </w:r>
            <w:r w:rsidR="00000000" w:rsidRPr="00000000" w:rsidDel="00000000">
              <w:rPr>
                <w:rtl w:val="0"/>
              </w:rPr>
              <w:t xml:space="preserve"> panta otrajā un trešajā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arī anotācijā ietverto informāciju par to, ko paredz Bērnu tiesību aizsardzības likuma 5.</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Kompetences pilnveides programmu apguvi atbilstoši izstrādātajiem kompetences pilnveides programmu paraugiem un to metodikām pēc pasniedzēju saskaņošanas ar centru organizē Izglītības iestāžu reģistrā reģistrēta un akreditēta augstākās vai profesionālās tālākizglītības un pilnveides izglītības iestāde vai valsts iestāde, kuras nolikumā ir paredzēts veikt izglītojošu darbību (turpmāk visas kopā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 visām iestādēm izglītojošas darbības veikšana ir noteikta tieši nolikumā, bet gan var tikt paredzēta arī kādā citā normatīvajā aktā (skat., piemēram, Tieslietu akadēmijas likumu), aicinājums vārdu "nolikums" aizstāt ar, piemēram, vārdiem "normatīvais akts".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Kļaviņa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Iestāde informāciju par speciālistam izsniegto apliecību glabā piecus gadus no tās izsniegšanas dienas. Centrs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punktā noteikto informāciju glabā piecus gadus no lēmuma par darba devēja, Valsts probācijas dienesta vai iestādes, kura organizē vai vēlas organizēt mācības, izvēlētā pasniedzēja saskaņošanu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attiecīgo punktu sadalīt divos punktos, nodalot iestādes un Bērnu aizsardzības centra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14.01.2025.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14.01.2025.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Atzinumi_24-TA-2928.docx</dc:title>
</cp:coreProperties>
</file>

<file path=docProps/custom.xml><?xml version="1.0" encoding="utf-8"?>
<Properties xmlns="http://schemas.openxmlformats.org/officeDocument/2006/custom-properties" xmlns:vt="http://schemas.openxmlformats.org/officeDocument/2006/docPropsVTypes"/>
</file>