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tostarp Eiropas mērogā īpaši nozīmīgas kritiskās infrastruktūras, apzināšanas, drošības pasākumu, incidentu paziņošanas, darbības nepārtrauktības un noturības pasākumu plānošanas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pasākumus, tostarp ārējā perimetra aizsardzību, piekļuves kontroli un apsardzes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29.3. apakšpunktā minēta “apsardzes nodrošināšana”, taču nav skaidrs, vai ar to domāta obligāta apsardzes nodrošināšana.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šajos noteikumos paredzētos noturības, darbības nepārtrauktības un drošības pasākumus, kritiskās infrastruktūras īpašnieks vai tiesiskais valdītājs, ja tas ir lietderīgi, ņem vērā Eiropas un starptautiskus standartus un tehniskās specifikācijas.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ir iekļauta atsauce uz Eiropas un starptautiskajiem standartiem un tehniskajām specifikācijām bez konkrētu standartu un specifikāciju uzskaitījuma. Ņemot vērā, ka spēkā ir vairāki desmiti tūkstošu šādu dokumentu, lūdzam precizēt, kurus tieši standartus un specifikācijas jāievēro šī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09.12.2025.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09.12.2025.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