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w:t>
            </w:r>
            <w:r w:rsidR="00000000" w:rsidRPr="00000000" w:rsidDel="00000000">
              <w:rPr>
                <w:rtl w:val="0"/>
              </w:rPr>
              <w:t xml:space="preserve">21.1.</w:t>
            </w:r>
            <w:r w:rsidR="00000000" w:rsidRPr="00000000" w:rsidDel="00000000">
              <w:rPr>
                <w:rtl w:val="0"/>
              </w:rPr>
              <w:t xml:space="preserve"> apakšpunktā minētās atbalstāmās darbības ietvaros ir attiecināmas projekta iesniedzēja un sadarbības partnera projekta vadības personāla izmaksas, kas radušās uz darba līguma (izņemot šo noteikumu </w:t>
            </w:r>
            <w:r w:rsidR="00000000" w:rsidRPr="00000000" w:rsidDel="00000000">
              <w:rPr>
                <w:rtl w:val="0"/>
              </w:rPr>
              <w:t xml:space="preserve">13.1.</w:t>
            </w:r>
            <w:r w:rsidR="00000000" w:rsidRPr="00000000" w:rsidDel="00000000">
              <w:rPr>
                <w:rtl w:val="0"/>
              </w:rPr>
              <w:t xml:space="preserve"> apakšpunktā minētajam projekta iesniedzējam un </w:t>
            </w:r>
            <w:r w:rsidR="00000000" w:rsidRPr="00000000" w:rsidDel="00000000">
              <w:rPr>
                <w:rtl w:val="0"/>
              </w:rPr>
              <w:t xml:space="preserve">14.1.</w:t>
            </w:r>
            <w:r w:rsidR="00000000" w:rsidRPr="00000000" w:rsidDel="00000000">
              <w:rPr>
                <w:rtl w:val="0"/>
              </w:rPr>
              <w:t xml:space="preserve"> apakšpunktā minētajam sadarbības partnerim) vai uzņēmuma līguma pamata, tai skaitā normatīvajos aktos nodarbinātības jomā noteiktās piemaksas un nodokļi, nepārsniedzot ierobežojumu, ko aprēķina ar minimālo izmaksu bāzi 34 422 </w:t>
            </w:r>
            <w:r w:rsidR="00000000" w:rsidRPr="00000000" w:rsidDel="00000000">
              <w:rPr>
                <w:i w:val="1"/>
                <w:rtl w:val="0"/>
              </w:rPr>
              <w:t xml:space="preserve">euro</w:t>
            </w:r>
            <w:r w:rsidR="00000000" w:rsidRPr="00000000" w:rsidDel="00000000">
              <w:rPr>
                <w:rtl w:val="0"/>
              </w:rPr>
              <w:t xml:space="preserve"> gadā, pieskaitot 0,64 % no projekta tiešajām attiecināmajām izmaksām, bet neieskaitot tiešās projekta vadības personāla izmaksas. Ja projekts ilgst mazāk par gadu vai nepilnos kalendārajos gados, tad ierobežojumu aprēķina proporcionāli projekta darbību īstenošanas pilnu mēnešu skaitam. Ja personāla iesaisti projektā nodrošina saskaņā ar daļlaika attiecināmības principu (attiecināms, ja izmaksas radušās uz darba līguma pamata),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22.punktu, ka tiešajām projekta vadības personāla atlīdzības izmaksām noteiktais ierobežojums ir Eiropas Reģionālās attīstības fonda daļai – “nepārsniedzot Eiropas Reģionālās attīstības fonda daļas ierobežojumu, ko aprēķina ar minimālo izmaksu bāzi 34 422 euro gadā, pieskaitot 0,64 % no projekta tiešajām attiecināmajām izmaksām, bet neieskaitot tiešās projekta vadības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attiecīgu papildinājumu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21.1. apakšpunktā minētās atbalstāmās darbības ietvaros ir attiecināmas projekta iesniedzēja un sadarbības partnera projekta vadības personāla izmaksas, kas radušās uz darba līguma (izņemot šo noteikumu 13.1. apakšpunktā minētajam projekta iesniedzējam un 14.1. apakšpunktā minētajam sadarbības partnerim) vai uzņēmuma līguma pamata, tai skaitā normatīvajos aktos nodarbinātības jomā noteiktās piemaksas un nodokļi, nepārsniedzot </w:t>
            </w:r>
            <w:r w:rsidR="00000000" w:rsidRPr="00000000" w:rsidDel="00000000">
              <w:rPr>
                <w:u w:val="single"/>
                <w:rtl w:val="0"/>
              </w:rPr>
              <w:t xml:space="preserve">Eiropas Reģionālās attīstības fonda daļas</w:t>
            </w:r>
            <w:r w:rsidR="00000000" w:rsidRPr="00000000" w:rsidDel="00000000">
              <w:rPr>
                <w:rtl w:val="0"/>
              </w:rPr>
              <w:t xml:space="preserve"> ierobežojumu, ko aprēķina ar minimālo izmaksu bāzi 34 422 euro gadā, pieskaitot 0,64 % no projekta tiešajām attiecināmajām izmaksām, bet neieskaitot tiešās projekta vadības personāla izmaksas. Ja projekts ilgst mazāk par gadu vai nepilnos kalendārajos gados, tad ierobežojumu aprēķina proporcionāli projekta darbību īstenošanas pilnu mēnešu skaitam. Ja personāla iesaisti projektā nodrošina saskaņā ar daļlaika attiecināmības principu (attiecināms, ja izmaksas radušās uz darba līguma pamata),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21.4.</w:t>
            </w:r>
            <w:r w:rsidR="00000000" w:rsidRPr="00000000" w:rsidDel="00000000">
              <w:rPr>
                <w:rtl w:val="0"/>
              </w:rPr>
              <w:t xml:space="preserve"> apakšpunktā minētās atbalstāmās darbības ietvaros ir attiecināmas komunikācijas un vizuālās identitātes prasību nodrošināšanas un horizontālā principa “Vienlīdzība, iekļaušana, nediskriminācija un pamattiesību ievērošana” darbību īstenošanai nepieciešamās izmaksas, lai izpildītu prasības atbilstoši regulas 2021/1060 47. un 50. pantam un normatīvajiem aktiem par kārtību, kādā Eiropas Savienības fondu vadībā iesaistītās institūcijas nodrošina šo fondu ieviešanu 2021.–2027. gada plānošanas periodā, tai skaitā indukcijas cilpu nomas, zīmju valodas tulku un vieglās valodas tulkošanas pakalpojumu izmaksas, subtitrēšanas un reāllaika transkripcijas pakalpojumu izmaksas, ja tas ir nepieciešams  informācijas piekļūstamības nodrošināšanai. Atbalsts minēto izmaksu segšanai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28. punktu piedāvātajā redakcijā, ņemot vērā, ka horizontālā principa “Vienlīdzība, iekļaušana, nediskriminācija un pamattiesību ievērošana” darbību īstenošanai nepieciešamās izmaksas nav attiecināms ne uz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ne uz normatīvajos aktos, kas nosaka kārtību, kādā Eiropas Savienības fondu vadībā iesaistītās institūcijas nodrošina šo fondu ieviešanu 2021. – 2027. gada plānošanas periodā,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projekta 21.4. apakšpunktu ar norādi uz horizontālā principa “Vienlīdzība, iekļaušana, nediskriminācija un pamattiesību ievērošana” darbību īstenošanu, ņemot vērā, ka minētā tiesību norma ir savstarpēji saistīta ar noteikumu projekta 28. punktu, jo 28. punktā uz to atsaucas. Proti, izsakot noteikumu projekta 21.4.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komunikācijas un vizuālās identitātes prasību nodrošināšana un horizontālā principa “Vienlīdzība, iekļaušana, nediskriminācija un pamattiesību ievērošana” darbību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21.4. apakšpunktā minētās atbalstāmās darbības ietvaros ir attiecināmas komunikācijas un vizuālās identitātes prasību nodrošināšanas un horizontālā principa “Vienlīdzība, iekļaušana, nediskriminācija un pamattiesību ievērošana” darbību īstenošanai nepieciešamās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31.punktu ar vārdiem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Pievienotās vērtības nodoklis, kas tiešā veidā saistīts ar projektu, uzskatāms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w:t>
            </w:r>
            <w:r w:rsidR="00000000" w:rsidRPr="00000000" w:rsidDel="00000000">
              <w:rPr>
                <w:u w:val="single"/>
                <w:rtl w:val="0"/>
              </w:rPr>
              <w:t xml:space="preserve">ja tas nav atgūstams atbilstoši normatīvajiem aktiem nodokļu politikas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13.12.2024.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13.12.2024.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