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atdeves 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(Plānotie absolventu 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(Imatrikulējamo un studējošo skaita plāni)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(STEM skolotāju absolventu skaiti)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sadaļa “Secinājumi un nākamie soļi” – “Institucionālā finansējuma ieviešana sistēmiski” papildināta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konsultāciju rezultātā līgumos ar augstskolām tiks iekļauti konkrēti un izmērāmi sasniedzamie rādītāji, piemēram, par noteiktu absolventu skaitu attiecīgajā jomā, tādējādi formalizējot nozaru vajadzību ievērošanu finansēšanas procesā, kamēr stratēģiska līmeņa diskusijas tiks koordinētas Cilvēkkapitāla attīstības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"kamēr stratēģiska līmeņa diskusijas tiks koordinētas Cilvēkkapitāla attīstības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2023. gada 6. jūnija noteikumos Nr. 290 “Cilvēkkapitāla attīstības padomes nolikums” https://likumi.lv/ta/id/342561 noteiktajām padomes funkcijām neizriet augstskolu iesaiste “stratēģiska līmeņa diskusijās” padomē. Bez tam, saskaņā ar nolikuma 11. punktu, padomes sēdes ir slēgtas; izņēmums – ja padome par to ir pieņēmusi atsevišķu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nolikuma 12. punktu padomes sēdēs ar padomdevēja tiesībām pieaicina pārstāvjus no šādām organizācijām: Latvijas Brīvo arodbiedrību savienība, Ārvalstu investoru padome Latvijā, Latvijas Darba devēju konfederācija, Latvijas Eksportētāju asociācija "The Red Jackets", Latvijas Tirdzniecības un rūpniecības kamera. Citu sadarbības partneru piesaiste </w:t>
            </w:r>
            <w:r w:rsidR="00000000" w:rsidRPr="00000000" w:rsidDel="00000000">
              <w:rPr>
                <w:i w:val="1"/>
                <w:rtl w:val="0"/>
              </w:rPr>
              <w:t xml:space="preserve">ad hoc</w:t>
            </w:r>
            <w:r w:rsidR="00000000" w:rsidRPr="00000000" w:rsidDel="00000000">
              <w:rPr>
                <w:rtl w:val="0"/>
              </w:rPr>
              <w:t xml:space="preserve"> tiek pieļauta, tomēr saistīta ar noteiktu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Cilvēkkapitāla attīstības padomi veido ekonomikas ministrs, izglītības un zinātnes ministrs un labklājības ministrs – valsts amatpersonas ar būtiskām pilnvarām un atbildību, tomēr šī ziņojuma kontekstā nav pamata uzsvērt, ka diskusijas par “valsts stratēģisko pasūtījumu” un “kritiski svarīgu speciālistu sagatavošanu” pārceļamas tikai uz Cilvēkkapitāla attīstības padomi, bez augstskolu iesaistes.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saskaņošanas kārtā tika iesniegts izvērsts iebildums pret “mainīgo finansējuma komponenti” 15% apmērā. Šis iebildums nav ticis ņemts vērā, to pamatojot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ir informatīvais ziņojums, kura mērķis ir sniegt informāciju par turpmāk nepieciešamo sistēmas pilnveidi. Kā viens no esošās sistēmas izaicinājumiem ir tās ierobežota ilgtermiņa elastība.” (avots – izziņa)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23.05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02.09.2025. 23.05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