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nekustamā īpašuma sastāvā ir meža zeme un valsts meža zemes atsavināšanai piemērojamas arī attiecīgās Meža likuma 44.panta normas, lūdzam attiecīgi precizēt apakšpunktu, atsevišķi izdalot atsavināmā nekustamā īpašuma sastāvā ietilpstošo meža zemi un rīkojuma projektā ietverot atsauci uz attiecīgo Meža likuma 44. panta normu (sk., piemēram, Ministru kabineta 2024. gada 3. decembra rīkojuma Nr.990 "Par valsts nekustamā īpašuma "Brūnaļas" Elejas pagastā, Jelgavas novadā, pārdošanu" 1.punktu) https://vktap.mk.gov.lv/structuralizer/data/nodes/9d286ea0-9d9e-475e-81cc-c5cce5bcfb6c.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w:t>
            </w:r>
            <w:r w:rsidR="00000000" w:rsidRPr="00000000" w:rsidDel="00000000">
              <w:rPr>
                <w:u w:val="single"/>
                <w:rtl w:val="0"/>
              </w:rPr>
              <w:t xml:space="preserve">tai skaitā meža zemi 0,83 ha platībā</w:t>
            </w:r>
            <w:r w:rsidR="00000000" w:rsidRPr="00000000" w:rsidDel="00000000">
              <w:rPr>
                <w:rtl w:val="0"/>
              </w:rPr>
              <w:t xml:space="preserve">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nekustamā īpašuma sastāvā ir meža zeme un valsts meža zemes atsavināšanai piemērojamas arī attiecīgās Meža likuma 44.panta normas, lūdzam attiecīgi precizēt apakšpunktu, atsevišķi izdalot atsavināmā nekustamā īpašuma sastāvā ietilpstošo meža zemi un rīkojuma projektā ietverot atsauci uz attiecīgo Meža likuma 44. panta normu (sk., piedāvātās rīkojuma projekta 1.4. apakšpunkta redakcijas piemēru un Ministru kabineta 2024. gada 3. decembra rīkojuma Nr.990 "Par valsts nekustamā īpašuma "Brūnaļas" Elejas pagastā, Jelgavas novadā, pārdošanu" 1.punktu), https://vktap.mk.gov.lv/structuralizer/data/nodes/9d286ea0-9d9e-475e-81cc-c5cce5bcfb6c.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rīkojuma projekta 1.4. un 1.5. apakšpunktā minēto nekustamo īpašumu sastāvā ir meža zeme un valsts meža zemes atsavināšanai piemērojamas arī attiecīgās Meža likuma 44. panta normas, lūdzam anotācijas 1.1. sadaļu "Pamatojums" papildināt ar atsauci uz attiecīgo Meža likuma 44. panta normu, piemēram, 1.3. apakšsadaļas </w:t>
            </w:r>
            <w:r w:rsidR="00000000" w:rsidRPr="00000000" w:rsidDel="00000000">
              <w:rPr>
                <w:b w:val="1"/>
                <w:rtl w:val="0"/>
              </w:rPr>
              <w:t xml:space="preserve">"Pašreizējās situācijas"</w:t>
            </w:r>
            <w:r w:rsidR="00000000" w:rsidRPr="00000000" w:rsidDel="00000000">
              <w:rPr>
                <w:rtl w:val="0"/>
              </w:rPr>
              <w:t xml:space="preserve"> aprakstā norādīts, ka nekustamā īpašuma Nr.4 atsavināšana atbilst </w:t>
            </w:r>
            <w:r w:rsidR="00000000" w:rsidRPr="00000000" w:rsidDel="00000000">
              <w:rPr>
                <w:u w:val="single"/>
                <w:rtl w:val="0"/>
              </w:rPr>
              <w:t xml:space="preserve">Meža likuma 44. panta ceturtās daļas 5. punktam.</w:t>
            </w:r>
            <w:r w:rsidR="00000000" w:rsidRPr="00000000" w:rsidDel="00000000">
              <w:rPr>
                <w:rtl w:val="0"/>
              </w:rPr>
              <w:t xml:space="preserve"> Tāpat lūdzam anotāciju papildināt ar skaidrojumu, kā Meža likuma normās ietilpstošie kritēriji izpildās, kā arī pievienot paskaidrojošos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08.04.2025.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08.04.2025.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Atzinumi_24-TA-1079.docx</dc:title>
</cp:coreProperties>
</file>

<file path=docProps/custom.xml><?xml version="1.0" encoding="utf-8"?>
<Properties xmlns="http://schemas.openxmlformats.org/officeDocument/2006/custom-properties" xmlns:vt="http://schemas.openxmlformats.org/officeDocument/2006/docPropsVTypes"/>
</file>