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150 "Emisijas kvotu izsolīšanas instrumenta finansēto projektu atklāta konkursa "Siltumnīcefekta gāzu emisiju samazināšana mājsaimniecībās – atbalsts atjaunojamo energoresursu izmantošanai"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 dzīvojamās mājas vai daudzdzīvokļu mājas iedzīvotāju pašpatēriņam gada griezumā (12 mēnešu periodā, kas sākas kārtējā gada 1. martā un beidzas nākamā gada februāra pēdējā dienā) attiecīgajā elektroenerģijas sistēmas pieslēgumā vai visos dzīvojamās mājas vai daudzdzīvokļu mājas īpašnieka objektos kopā, ja dzīvojamās mājas vai daudzdzīvokļu mājas īpašnieks ir neto norēķinu sistēmas dalībnieks, izņemot gadījumu,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nosacījumiem un par nodoto elektroenerģiju saņem atlīdzību. Maksimāli pieļaujamais saražotās elektroenerģijas pārpalikums, ko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šķiet, tehnisku kļūdu projekta 9.4.2. apakšpunkta beigās un svītrot teikuma daļu "Maksimāli pieļaujamais saražotās elektroenerģijas pārpalikums, ko".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9.4.2. </w:t>
            </w:r>
            <w:r w:rsidR="00000000" w:rsidRPr="00000000" w:rsidDel="00000000">
              <w:rPr>
                <w:rtl w:val="0"/>
              </w:rPr>
              <w:t xml:space="preserve">apakšpunkt</w:t>
            </w:r>
            <w:r w:rsidR="00000000" w:rsidRPr="00000000" w:rsidDel="00000000">
              <w:rPr>
                <w:rtl w:val="0"/>
              </w:rPr>
              <w:t xml:space="preserve">s piemērojams ar 2024.gada 1.maiju.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Ministru kabineta 2024. gada 6. februāra noteikumi Nr. 92 "Grozījumi Ministru kabineta 2023. gada 7. novembra noteikumos Nr. 635 "Elektroenerģijas tirdzniecības un lietošanas noteikumi"" stājas spēkā 2024. gada 1. maijā. Attiecīgi minētie grozījumi jau ir stājušies spēkā, kas savukārt nozīmē, ka jaunā neto norēķinu sistēma mājsaimniecībām, kas ražo elektroenerģiju pašpatēriņam no atjaunojamajiem resursiem, piemēram, uzstādot saules paneļus un pārpalikumu nodod elektroenerģijas tirgotājam, jau ir sākusi darboties. Attiecīgi lūdzam izvērtēt noteikumu 59. punkta nepieciešamību, ņemot vērā vispārējo principu par tiesību normas piemērojamību publiskajās tiesībās, proti, tiesību normai ir tūlītējs spēks. Ja 59. punktā ietvertā norma paredz atpakaļejošu spēku, lūdzam izvērtēt un skaidrot tās atbilstību Oficiālo publikāciju un tiesiskās informācijas likuma 9. panta ceturtajai daļai, kas noteic, ka normatīvajiem aktiem nav atpakaļejoša spēka, izņemot likumā īpaši paredzētus gadījumus. Attiecīgi lūdzam izvērtēt un precizēt projektu vai sniegt pamatotu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23-TA-3312</w:t>
    </w:r>
    <w:r>
      <w:br/>
    </w:r>
    <w:r w:rsidR="00000000" w:rsidRPr="00000000" w:rsidDel="00000000">
      <w:rPr>
        <w:rtl w:val="0"/>
      </w:rPr>
      <w:t xml:space="preserve">Izdrukāts 17.05.2024.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23-TA-3312</w:t>
    </w:r>
    <w:r>
      <w:br/>
    </w:r>
    <w:r w:rsidR="00000000" w:rsidRPr="00000000" w:rsidDel="00000000">
      <w:rPr>
        <w:rtl w:val="0"/>
      </w:rPr>
      <w:t xml:space="preserve">Izdrukāts 17.05.2024.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Atzinumi_23-TA-3312.docx</dc:title>
</cp:coreProperties>
</file>

<file path=docProps/custom.xml><?xml version="1.0" encoding="utf-8"?>
<Properties xmlns="http://schemas.openxmlformats.org/officeDocument/2006/custom-properties" xmlns:vt="http://schemas.openxmlformats.org/officeDocument/2006/docPropsVTypes"/>
</file>