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ietvaros netiek atbalstītas projekta darbības, kurām atbalsts ir kvalificējams kā komercdarbības atbalsts. Lai atbalsts specializētajiem ugunsdzēsības un glābšanas transportlīdzekļiem, pārvietojamiem konteineriem vai aprīkojuma vienībām netiktu kvalificēts kā komercdarbības atbalsts, ar specializētajiem ugunsdzēsības un glābšanas transportlīdzekļiem, pārvietojamiem konteineriem vai aprīkojuma vienībām, kurus izmanto Valsts ugunsdzēsības un glābšanas dienesta vajadzībām, pamatlīdzekļu un ilgtermiņa ieguldījumu amortizācijas periodā ir pieļaujams veikt papildinošu saimniecisko darbību ne vairāk kā 20 procentu apmērā no specializēto ugunsdzēsības un glābšanas transportlīdzekļu, pārvietojamo konteineru vai aprīkojuma vienību gada jaudas platības, laika vai finanšu izteiksmē un ir pieļaujams sniegt papildpakalpojumus,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platības izteiksme nebūtu dzēšama gan no šī, gan 24., 25.punkta un anotācijas skaidrojumiem, jo projektā ir plānota tikai transportlīdzekļu un aprīkojuma iegāde.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veikto investīciju atbilstības uzraudzību atbilstoši šo noteikumu 23. un 24. punktā minētajiem nosacījumiem visā projekta dzīves ciklā.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un iesniedz to sadarbības iestādē pēc sadarbības iestādes pieprasījuma. Ja finansējuma saņēmējs konstatē, ka ir pārsniegts šo noteikumu 23. punktā minētais 20 procentu ierobežojums no specializēto ugunsdzēsības un glābšanas transportlīdzekļu, pārvietojamo konteineru vai aprīkojuma vienību gada jaudas platības, laika vai finanšu izteiksmē vai ka veiktās investīcijas tiek izmantotas citai saimnieciskai darbībai, kas nav uzskatāma par papildinošu saimniecisku darbību, tas saskaņā ar civiltiesisko līgumu vai vienošanos par projekta īstenošanu noteiktajā termiņā iesniedz sadarbības iestādē ziņojumu par konstatēto šo noteikumu 23. un 24. punktā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Eiropas Savienības fondu 2021.—2027. gada plānošanas perioda vadības likuma 18. panta pirmās daļas 2. punktu finansējuma saņēmējam ir pienākums nodrošināt projekta īstenošanu saskaņā ar Eiropas Savienības un Latvijas Republikas normatīvajiem aktiem un </w:t>
            </w:r>
            <w:r w:rsidR="00000000" w:rsidRPr="00000000" w:rsidDel="00000000">
              <w:rPr>
                <w:u w:val="single"/>
                <w:rtl w:val="0"/>
              </w:rPr>
              <w:t xml:space="preserve">vienošanos par projekta īstenošanu</w:t>
            </w:r>
            <w:r w:rsidR="00000000" w:rsidRPr="00000000" w:rsidDel="00000000">
              <w:rPr>
                <w:rtl w:val="0"/>
              </w:rPr>
              <w:t xml:space="preserve">, </w:t>
            </w:r>
            <w:r w:rsidR="00000000" w:rsidRPr="00000000" w:rsidDel="00000000">
              <w:rPr>
                <w:u w:val="single"/>
                <w:rtl w:val="0"/>
              </w:rPr>
              <w:t xml:space="preserve">ja finansējuma saņēmējs ir tiešās</w:t>
            </w:r>
            <w:r w:rsidR="00000000" w:rsidRPr="00000000" w:rsidDel="00000000">
              <w:rPr>
                <w:rtl w:val="0"/>
              </w:rPr>
              <w:t xml:space="preserve"> vai pastarpinātās </w:t>
            </w:r>
            <w:r w:rsidR="00000000" w:rsidRPr="00000000" w:rsidDel="00000000">
              <w:rPr>
                <w:u w:val="single"/>
                <w:rtl w:val="0"/>
              </w:rPr>
              <w:t xml:space="preserve">pārvaldes iestāde</w:t>
            </w:r>
            <w:r w:rsidR="00000000" w:rsidRPr="00000000" w:rsidDel="00000000">
              <w:rPr>
                <w:rtl w:val="0"/>
              </w:rPr>
              <w:t xml:space="preserve">, atvasināta publiska persona vai cita valsts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finansējuma saņēmējs ir Valsts ugunsdzēsības un glābšanas dienests, lūdzam svītrot noteikumu projekta 25. punktā vārdu "civiltiesisko līgumu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veikto investīciju atbilstības uzraudzību atbilstoši šo noteikumu 23. un 24. punktā minētajiem nosacījumiem visā projekta dzīves ciklā.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un iesniedz to sadarbības iestādē pēc sadarbības iestādes pieprasījuma. Ja finansējuma saņēmējs konstatē, ka ir pārsniegts šo noteikumu 23. punktā minētais 20 procentu ierobežojums no specializēto ugunsdzēsības un glābšanas transportlīdzekļu, pārvietojamo konteineru vai aprīkojuma vienību gada jaudas platības, laika vai finanšu izteiksmē vai ka veiktās investīcijas tiek izmantotas citai saimnieciskai darbībai, kas nav uzskatāma par papildinošu saimniecisku darbību, tas </w:t>
            </w:r>
            <w:r w:rsidR="00000000" w:rsidRPr="00000000" w:rsidDel="00000000">
              <w:rPr>
                <w:u w:val="single"/>
                <w:rtl w:val="0"/>
              </w:rPr>
              <w:t xml:space="preserve">saskaņā ar vienošanos par projekta īstenošanu</w:t>
            </w:r>
            <w:r w:rsidR="00000000" w:rsidRPr="00000000" w:rsidDel="00000000">
              <w:rPr>
                <w:rtl w:val="0"/>
              </w:rPr>
              <w:t xml:space="preserve"> noteiktajā termiņā iesniedz sadarbības iestādē ziņojumu par konstatēto šo noteikumu 23. un 24. punktā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3. sadaļas 6. punktā norādīt konkrētu finansējuma apmēru, kāds tiks novirzīts no jauna iegādāto Valsts ugunsdzēsības un glābšanas dienesta (turpmāk - VUGD) transportlīdzekļu uzturēšanas izdevumu segšanai, no VUGD autoparka, kuru plānots aizstāt ar jaunajiem transportlīdzekļiem, uzturēšanas izdevumiem budžetā esošā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102 881 742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(turpmāk - 18. 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 un nosakot, ka finansējums 102 885 442 </w:t>
            </w:r>
            <w:r w:rsidR="00000000" w:rsidRPr="00000000" w:rsidDel="00000000">
              <w:rPr>
                <w:i w:val="1"/>
                <w:rtl w:val="0"/>
              </w:rPr>
              <w:t xml:space="preserve">euro </w:t>
            </w:r>
            <w:r w:rsidR="00000000" w:rsidRPr="00000000" w:rsidDel="00000000">
              <w:rPr>
                <w:rtl w:val="0"/>
              </w:rPr>
              <w:t xml:space="preserve">apmērā ir uzskatāms par izmantotu, ņemot vērā tā piešķiršanas mērķi un vienreizējo raksturu,  un attiecīgi nav izmantojams citu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nekorekti norādīto valsts budžeta finansējuma apmēru, kuru paredzēts deklarēt Eiropas Komisijai, ņemot vērā, ka Ministru kabineta sēdes protokollēmuma projekta 3. punkta sākumā un beigās ir norādīts atšķirīgs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18.06.2025.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18.06.2025.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