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24-TA-500: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Vietējo pašvaldību referendumu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elektroniskā parakstu vākšana un pašvaldības referendumu ierosināšana ir cieši saistīta ar Centrālās vēlēšanu komisijas funkciju izpildi un metodiskā palīdzība pašvaldības referenduma organizēšanā var būt nepieciešama arī Valsts reģionālās attīstības aģentūrai, kā e-pakalpojuma turētājam, lūdzam rast iespēju veikt grozījumus likuma 3.panta otrajā daļā un 4.panta piektajā daļā.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3.panta otro daļu izteikt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Centrālā vēlēšanu komisija, ja nepieciešams, sniedz vēlēšanu komisijai un Valsts reģionālās attīstības aģentūrai metodisku palīdzību pašvaldības referenduma sagatavošanā un vadīšanā.”;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4.panta piekto daļu izteikt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Ministru kabinets nosaka minimālās drošības un tehniskās prasības elektroniskai parakstu vākšanai par pašvaldības referenduma ierosināšanu.”.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Jankovska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4. panta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Balsošana pašvaldības referendumā notiek klātienē pašvaldības vēlēšanu iecirkņos un iepriekšējā balsošana notiek elektroniski. Iepriekšējai balsošanai izmanto iepriekšējās balsošanas e-pakalpojumu (turpmāk — balsošanas  e-pakalpojums). Balsošanas  e-pakalpojuma pārzinis ir Valsts reģionālās attīstības aģentūra.”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tiesību akts detalizēti apraksta nepieciešamo datu apmaiņas apjomu, operatīva procesa nodrošināšanai un administratīva resursa taupībai ir nepieciešams papildināt likumprojekta 4. pantu ar (3 </w:t>
            </w:r>
            <w:r w:rsidR="00000000" w:rsidRPr="00000000" w:rsidDel="00000000">
              <w:rPr>
                <w:vertAlign w:val="superscript"/>
                <w:rtl w:val="0"/>
              </w:rPr>
              <w:t xml:space="preserve">1</w:t>
            </w:r>
            <w:r w:rsidR="00000000" w:rsidRPr="00000000" w:rsidDel="00000000">
              <w:rPr>
                <w:rtl w:val="0"/>
              </w:rPr>
              <w:t xml:space="preserve">)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4. pantu ar (3 </w:t>
            </w:r>
            <w:r w:rsidR="00000000" w:rsidRPr="00000000" w:rsidDel="00000000">
              <w:rPr>
                <w:vertAlign w:val="superscript"/>
                <w:rtl w:val="0"/>
              </w:rPr>
              <w:t xml:space="preserve">1</w:t>
            </w:r>
            <w:r w:rsidR="00000000" w:rsidRPr="00000000" w:rsidDel="00000000">
              <w:rPr>
                <w:rtl w:val="0"/>
              </w:rPr>
              <w:t xml:space="preserve">) daļu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1</w:t>
            </w:r>
            <w:r w:rsidR="00000000" w:rsidRPr="00000000" w:rsidDel="00000000">
              <w:rPr>
                <w:rtl w:val="0"/>
              </w:rPr>
              <w:t xml:space="preserve">) Pilsonības un migrācijas lietu pārvalde, Tiesu administrācija un Valsts reģionālās attīstības aģentūra sadarbojas saskaņā ar šo likumu, neslēdzot savstarpējas vienošanās.".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Jankovska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4. panta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Balsošana pašvaldības referendumā notiek klātienē pašvaldības vēlēšanu iecirkņos un iepriekšējā balsošana notiek elektroniski. Iepriekšējai balsošanai izmanto iepriekšējās balsošanas e-pakalpojumu (turpmāk — balsošanas  e-pakalpojums). Balsošanas  e-pakalpojuma pārzinis ir Valsts reģionālās attīstības aģentūra.”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tiesību akts detalizēti apraksta nepieciešamo datu apmaiņas apjomu, operatīva procesa nodrošināšanai un administratīva resursa taupībai ir nepieciešams papildināt likumprojekta 4. pantu ar (3</w:t>
            </w:r>
            <w:r w:rsidR="00000000" w:rsidRPr="00000000" w:rsidDel="00000000">
              <w:rPr>
                <w:vertAlign w:val="superscript"/>
                <w:rtl w:val="0"/>
              </w:rPr>
              <w:t xml:space="preserve">1</w:t>
            </w:r>
            <w:r w:rsidR="00000000" w:rsidRPr="00000000" w:rsidDel="00000000">
              <w:rPr>
                <w:rtl w:val="0"/>
              </w:rPr>
              <w:t xml:space="preserve">)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1</w:t>
            </w:r>
            <w:r w:rsidR="00000000" w:rsidRPr="00000000" w:rsidDel="00000000">
              <w:rPr>
                <w:rtl w:val="0"/>
              </w:rPr>
              <w:t xml:space="preserve">) Pilsonības un migrācijas lietu pārvalde, Tiesu administrācija un Valsts reģionālās attīstības aģentūra sadarbojas saskaņā ar šo likumu, neslēdzot savstarpējas vienošanās.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Oļegs Fiļipovičs (VRAA)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pārejas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1) no PMLP šogad saņemamā ETVR versija nevarēs sniegt atbalstu vairākām vienlaicīgajām procedūrām, un 2) likums stājās spēkā jau šā gada 1.septembrī un vairs nav laika ETVR pielāgojumu veikšanai, ir nepieciešams pārejas noteikums, kas ļaus koordinēt referendumu laika grafiku, lai nepieļautu, ka vairāki balsošanas procesi notiek vienlaicīgi.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Jankovska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pārejas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1) no PMLP šogad saņemamā ETVR versija nevarēs sniegt atbalstu vairākām vienlaicīgajām procedūrām, un 2) likums stājās spēkā jau šā gada 1.septembrī un vairs nav laika ETVR pielāgojumu veikšanai, ir nepieciešams pārejas noteikums, kas ļaus koordinēt referendumu laika grafiku, lai nepieļautu, ka vairāki balsošanas procesi notiek vienlaicīgi.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Līdz 2025.gada 31.jūlijam vēlēšanu komisija papildus 9. panta noteiktajai kārtībai nosakot referenduma datumu nodrošina, ka laika posms starp secīgajiem referendumiem nav mazāk par divām nedēļām, referenduma datumu saskaņojot ar Valsts reģionālās attīstības aģentūru.";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Oļegs Fiļipovičs (VRAA)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24-TA-500</w:t>
    </w:r>
    <w:r>
      <w:br/>
    </w:r>
    <w:r w:rsidR="00000000" w:rsidRPr="00000000" w:rsidDel="00000000">
      <w:rPr>
        <w:rtl w:val="0"/>
      </w:rPr>
      <w:t xml:space="preserve">Izdrukāts 20.05.2024. 17.28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24-TA-500</w:t>
    </w:r>
    <w:r>
      <w:br/>
    </w:r>
    <w:r w:rsidR="00000000" w:rsidRPr="00000000" w:rsidDel="00000000">
      <w:rPr>
        <w:rtl w:val="0"/>
      </w:rPr>
      <w:t xml:space="preserve">Izdrukāts 20.05.2024. 17.28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Atzinumi_24-TA-500.docx</dc:title>
</cp:coreProperties>
</file>

<file path=docProps/custom.xml><?xml version="1.0" encoding="utf-8"?>
<Properties xmlns="http://schemas.openxmlformats.org/officeDocument/2006/custom-properties" xmlns:vt="http://schemas.openxmlformats.org/officeDocument/2006/docPropsVTypes"/>
</file>