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minētos nosacījumus par komercdarbības atbalstu projekta iesniedzējam, kas projektā iekļautajā objektā veic vai pēc projekta īstenošanas plāno veikt saimniecisko darbību, par projektā minētajām izmaksām sniedz saskaņā ar Komisijas 2023. gada 13. decembra Regulu (ES) 2023/2831 par Līguma par Eiropas Savienības darbību 107. un 108. panta piemērošanu de minimis atbalstam (turpmāk – regula 2023/2831) un ievērojot to, ka finansējuma saņēmēji un sadarbības partneri var būt valsts budžeta iestādes, lūdzam noteikumu projekta anotācijā sniegt plašāku skaidrojumu par de minimis atbalsta piešķiršanas un uzskaites kārtību valsts budžeta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Lakučs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13.02.2026.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13.02.2026.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Atzinumi_26-TA-247.docx</dc:title>
</cp:coreProperties>
</file>

<file path=docProps/custom.xml><?xml version="1.0" encoding="utf-8"?>
<Properties xmlns="http://schemas.openxmlformats.org/officeDocument/2006/custom-properties" xmlns:vt="http://schemas.openxmlformats.org/officeDocument/2006/docPropsVTypes"/>
</file>