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panta 2. punkta pašreizējā redakcija ir neskaidra un attiecīgā atsauce izziņas 145. punktā uz Ministru kabineta 2019. gada 9. jūlija noteikumiem Nr. 309 "Veselības inspekcijas nolikums" ir nekorekta, jo hierarhiski likuma normas nevar izrietēt no zemāka līmeņa normatīvā akta, bet drīzāk gan otrādi - nolikums ir precizējams pēc izmaiņām likumos. Bez tam Ekonomikas ministrijas izstrādātais projekts izklaides vietu radītā trokšņa kontrolei paredz, ka izklaides vietu troksnis ir pielīdzināms vides troksnim, bet tas būs jākontrolē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un pašvaldības kontrolē vides kvalitātes normatīvu atbilstību normatīvajos aktos noteiktajām prasībām vides un cita veida trokšņa jomā, atbilstoši to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43.panta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un cita veida trokšņa robežlieluma pārsniegšana.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un cita veida trokšņa robežlieluma pārsniegšanu piemēro naudas sodu fiziskajai personai līdz septiņdesmit naudas soda vienībām, bet juridiskajai personai -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45.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43. pantā minēto pārkāpumu veic Veselības inspekcija un pašvaldības, atbilstoši to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21.03.2025.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21.03.2025.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