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izmantošanas, zemes izmantošanas maiņas un mežsaimniecības sektora virzību uz klimatneitralitāti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izziņā norādītajam Latvijas Ornitoloģijas biedrības iebildumi nav ņemti vērā. Tostarp informatīvajā ziņojumā joprojām tiek apgalvots, ka piesaistes samazinājums ZIZIMM sektorā "saistāms ar pieaugušu un pāraugušu mežu īpatsvara pieaugumu", lai gan zināms, ka faktiskais iemesls piesaistes samazinājumam ir mežizstrādes intensitātes pieaugums. Balstoties uz galveno problēmu noliegumu vai noklusēšanu, nebūs iespējams izstrādāt atbilstošus risinājumus. Ņemot vērā iepriekš minēto, Latvijas Ornitoloģijas biedrība uztur visus iepriekš izteiktos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02.04.2024.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02.04.2024.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Atzinumi_23-TA-2223.docx</dc:title>
</cp:coreProperties>
</file>

<file path=docProps/custom.xml><?xml version="1.0" encoding="utf-8"?>
<Properties xmlns="http://schemas.openxmlformats.org/officeDocument/2006/custom-properties" xmlns:vt="http://schemas.openxmlformats.org/officeDocument/2006/docPropsVTypes"/>
</file>