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14. aprīļa noteikumos Nr. 204 "Kritēriji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aprēķiniem par nepieciešamo papildus finansējumu, nosakot zemākus kvantitatīvos kritērijus 16. grupai (tālmācība).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iestādes atbilstību kvantitatīvajiem rādītājiem un pieļaujamai svārstībai nosaka saskaņā ar informācijas sistēmā ievadīto un apstiprināto informāciju par izglītojamo skaitu izglītības iestādē (pa klasēm un izglītības programmām) attiecīgā gada 1. septembrī. Nosakot atbilstību kvantitatīvajiem rādītājiem izglītības iestādē, kurā vienlaikus tiek īstenotas vairākas vispārējās izglītības programmas, izglītojamo skaitu klātienē un nepilna laika klātienē skaita kopā, bet tālmācībā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17.punkts nosaka, ka IZM informāciju par izglītojamo skaitu no pašvaldībām saņem līdz 30.jūnijam, lūdzam noteikt, ka IZM līdz 30.jūlijam VIISā nosaka izglītības iestādes atbilstību kvantitatīvajiem rādītājiem un to precizē uz 1.septembri;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iestādes atbilstību kvantitatīvajiem rādītājiem un pieļaujamai svārstībai ministrija nosaka līdz 30.jūlijam, saskaņā ar saņemto, informācijas sistēmā ievadīto un apstiprināto informāciju par izglītojamo skaitu izglītības iestādē (pa klasēm un izglītības programmām) un to precizē 1. septembrī. Nosakot atbilstību kvantitatīvajiem rādītājiem izglītības iestādē, kurā vienlaikus tiek īstenotas vairākas vispārējās izglītības programmas, izglītojamo skaitu klātienē un nepilna laika klātienē skaita kopā, bet tālmācībā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12.</w:t>
            </w:r>
            <w:r w:rsidR="00000000" w:rsidRPr="00000000" w:rsidDel="00000000">
              <w:rPr>
                <w:rtl w:val="0"/>
              </w:rPr>
              <w:t xml:space="preserve"> punktu</w:t>
            </w:r>
            <w:r w:rsidR="00000000" w:rsidRPr="00000000" w:rsidDel="00000000">
              <w:rPr>
                <w:rtl w:val="0"/>
              </w:rPr>
              <w:t xml:space="preserve"> attiecībā uz pašvaldību un valsts augstskolu izglītības iestādēm piemēro ar 2027. gada 1. septembri, bet attiecībā uz privātajām izglītības iestādēm – ar 2029. gada 1. septembri. Līdz minētajiem datumiem piemēro šādu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normatīvā regulējuma ieviešanā nodrošināt vienlīdzīgu attieksmi pret visām izglītības iestādēm, neizdalot pakāpenisku regulējuma ieviešanu tikai privātajām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3.grupā 10.-12.kl. posmā noteikt izglītojamo skaitu 90. Uzskatām, ka 3.grupā iekļauto pašvaldību (Balvi, Krāslava, Ludza, Limbaži, Līvāni, Lielvārde, Ikšķile, Preiļi, Gulbene, Madona, Dobele, Talsi, Kuldīga) izglītības iestādēm nav samērīgi noteikt tādu pašu kvantitatīvo rādītāju kā Rīgas, Pierīgas un valstspilsētu pašvaldību izglītības iestādēm, kas ir 1.un 2.grupā.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26-TA-1902</w:t>
    </w:r>
    <w:r>
      <w:br/>
    </w:r>
    <w:r w:rsidR="00000000" w:rsidRPr="00000000" w:rsidDel="00000000">
      <w:rPr>
        <w:rtl w:val="0"/>
      </w:rPr>
      <w:t xml:space="preserve">Izdrukāts 13.08.2026.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26-TA-1902</w:t>
    </w:r>
    <w:r>
      <w:br/>
    </w:r>
    <w:r w:rsidR="00000000" w:rsidRPr="00000000" w:rsidDel="00000000">
      <w:rPr>
        <w:rtl w:val="0"/>
      </w:rPr>
      <w:t xml:space="preserve">Izdrukāts 13.08.2026.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Atzinumi_26-TA-1902.docx</dc:title>
</cp:coreProperties>
</file>

<file path=docProps/custom.xml><?xml version="1.0" encoding="utf-8"?>
<Properties xmlns="http://schemas.openxmlformats.org/officeDocument/2006/custom-properties" xmlns:vt="http://schemas.openxmlformats.org/officeDocument/2006/docPropsVTypes"/>
</file>