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(4.2.4.2 pasākuma "Atbalsts pieaugušo individuālajās vajadzībās balstītai pieaugušo izglītībai” izmaksu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apsriedes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dalībnieki, kuri pēc dalības pārtraukšanas ir ieguvuši kvalifikāciju (personu skaits) - 24 118;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anotācijā skaidrot, kas projekta 4.2.1 apakšpunktā domāts ar "dalības pārtraukšanu" un 4.2.2. apakšpunktā - ar "aiziešanu".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izglītības iestādes, kas atbilst šo noteikumu 15. punktā noteiktajām prasībām un paredz nodrošināt mācību piedāvājumu, ko ir apstiprinājusi Ekonomikas ministrijas izveidotā komisija, – šo noteikumu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shd w:fill="lightcyan" w:val="clear"/>
                <w:rtl w:val="0"/>
              </w:rPr>
              <w:t xml:space="preserve">,  </w:t>
            </w:r>
            <w:r w:rsidR="00000000" w:rsidRPr="00000000" w:rsidDel="00000000">
              <w:rPr>
                <w:rtl w:val="0"/>
              </w:rPr>
              <w:t xml:space="preserve">21.5.</w:t>
            </w:r>
            <w:r w:rsidR="00000000" w:rsidRPr="00000000" w:rsidDel="00000000">
              <w:rPr>
                <w:shd w:fill="#ffffff" w:val="clea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21.7.</w:t>
            </w:r>
            <w:r w:rsidR="00000000" w:rsidRPr="00000000" w:rsidDel="00000000">
              <w:rPr>
                <w:rtl w:val="0"/>
              </w:rPr>
              <w:t xml:space="preserve"> un </w:t>
            </w:r>
            <w:r w:rsidR="00000000" w:rsidRPr="00000000" w:rsidDel="00000000">
              <w:rPr>
                <w:rtl w:val="0"/>
              </w:rPr>
              <w:t xml:space="preserve">21.8.</w:t>
            </w:r>
            <w:r w:rsidR="00000000" w:rsidRPr="00000000" w:rsidDel="00000000">
              <w:rPr>
                <w:rtl w:val="0"/>
              </w:rPr>
              <w:t xml:space="preserve"> apakšpunktā minēto atbalstāmo darbību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punkts paredz, ka noteikumu </w:t>
            </w:r>
            <w:r w:rsidR="00000000" w:rsidRPr="00000000" w:rsidDel="00000000">
              <w:rPr>
                <w:u w:val="single"/>
                <w:rtl w:val="0"/>
              </w:rPr>
              <w:t xml:space="preserve">21.5., 21.6., 21.7., 21.8. un 21.9. apakšpunktā</w:t>
            </w:r>
            <w:r w:rsidR="00000000" w:rsidRPr="00000000" w:rsidDel="00000000">
              <w:rPr>
                <w:rtl w:val="0"/>
              </w:rPr>
              <w:t xml:space="preserve"> minētās atbalstāmās darbības īstenošanā paredzēto mācību piedāvājumu apstiprina Ekonomikas ministrijas izveidotā komisija. Attiecīgi aicinām izvērtēt un precizēt vai skaidrot, kādēļ nepieciešams projekta 14.1. apakšpunktā prasību "paredz nodrošināt mācību piedāvājumu, ko ir apstiprinājusi Ekonomikas ministrijas izveidotā komisija" attiecināt ne tikai uz projekta 39. punktā minētajām atbalstāmajām darbībām, bet arī uz </w:t>
            </w:r>
            <w:r w:rsidR="00000000" w:rsidRPr="00000000" w:rsidDel="00000000">
              <w:rPr>
                <w:u w:val="single"/>
                <w:rtl w:val="0"/>
              </w:rPr>
              <w:t xml:space="preserve">21.3. un 21.4. apakšpunktā</w:t>
            </w:r>
            <w:r w:rsidR="00000000" w:rsidRPr="00000000" w:rsidDel="00000000">
              <w:rPr>
                <w:rtl w:val="0"/>
              </w:rPr>
              <w:t xml:space="preserve"> minēto atbalstāmo darbību. Attiecīgi aicinām izvērtēt un vai nu precizēt projektu, vai sniegt skaidrojumu anotācijā par iepriekš minētās prasības nepieciešamību attiecībā uz visām projekta 14.1. apakšpunktā minētajām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visās komunikācijas aktivitātēs jānodrošina cieša sadarbība ar Izglītības un zinātnes ministriju, nodrošinot savlaicīgu publicitātes informāciju, iesaistot komunikācijas aktivitātēs u.c., kā arī  jānodrošina sadarbība ar EK pārstāvniecību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nelietot neatšifrētus saīsinājumus vai abreviatūras, bet gan lietot pilnu nosaukumu ("Eiropas Komisija", nevis "EK"). Ja nepieciešams veidot saīsinājumus, aicinām tos veidot atbilstoši Ministru kabineta 2009. gada 3. februāra noteikumu Nr. 108 "Normatīvo aktu projektu sagatavošanas noteikumi" 124.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Norādām, ka fizisko personu datu aizsardzības jomu regulējošo normatīvo aktu prasības jebkurā gadījumā ir piemērojamas projekta ietvaros veiktajai personas datu apstrādei, līdz ar to nav nepieciešams anotācijā ietvert deklaratīvus apgalvojumus par prasību un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15.12.2023.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15.12.2023.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