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viennozīmīgu izpratni par izsniedzamo ziņu apjomu no valsts informācijas sistēmas "Sodu reģistrs", </w:t>
            </w:r>
            <w:r w:rsidR="00000000" w:rsidRPr="00000000" w:rsidDel="00000000">
              <w:rPr>
                <w:i w:val="1"/>
                <w:rtl w:val="0"/>
              </w:rPr>
              <w:t xml:space="preserve">ievērojot projekta sākotnējās ietekmes novērtējuma ziņojumā (anotācijā) ietverto atsauci uz zemāk norādītajām normām, kas tajā nav minētas</w:t>
            </w:r>
            <w:r w:rsidR="00000000" w:rsidRPr="00000000" w:rsidDel="00000000">
              <w:rPr>
                <w:rtl w:val="0"/>
              </w:rPr>
              <w:t xml:space="preserve">, papildināt  projekta sākotnējās ietekmes novērtējuma ziņojumu (anotāciju), norādot konkrētus Krimināllikuma pantus un attiecīgajos nozaru likumos paredzētos administratīvos pārkāpumus, no kuriem būtu secināma komersanta neatbilstība atbalsta saņemšanai noteiktajiem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31.01.2025.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31.01.2025.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