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decembra noteikumos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Atkritumu apsaimniekošanas likumā, kas stājās spēkā jau 2023.gada pirmajā pusē, tika izslēgts deleģējums Ministru kabinetam noteikt par licenci melno un krāsaino metālu atgriezumu un lūžņu iepirkšanai Latvijā un par licenci melno metālu atgriezumu un lūžņu iepirkšanai Latvijā maksājamās valsts nodevas likmi (euro), kā arī kārtību, kādā maksājama šī nodeva. Vienlaikus, veicot šos grozījumus, likumprojekta anotācijā tika atrunāts, </w:t>
            </w:r>
            <w:r w:rsidR="00000000" w:rsidRPr="00000000" w:rsidDel="00000000">
              <w:rPr>
                <w:i w:val="1"/>
                <w:rtl w:val="0"/>
              </w:rPr>
              <w:t xml:space="preserve">ka līdz ar likumprojekta stāšanos spēkā spēku zaudēs Ministru kabineta 2011.gada 13.decembra noteikumi Nr.960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izrādās, tomēr konkrētie MK noteikumi nav zaudējuši spēku 2023.gadā un šobrīd no tiem tiek svītrots regulējums saistībā ar valsts nodevu (lai gan konkrētais deleģējums nav spēkā jau vairāk kā divus gadus). Tādējādi lūdzam anotācijā paskaidrot, kāpēc konkrētie MK noteikumi nezaudēja spēku, līdz ar likuma grozījumu spēkā stāšanos, kā tas iepriekš bija ticis norādīts likumprojekta "Grozījumi Atkritumu apsaimniekošanas likumā" anotācijā. Tāpat lūdzam apliecināt, ka šajā pēdējo divu gadu periodā konkrētā valsts nodeva, neskatoties uz to, ka noteikumos bija noteikta gan valsts nodevas likme, gan maksāšanas kārtība, netika iekasēta, jo nebija spēkā deleģējums Ministru kabinetam šādu regulējumu noteikt.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w:t>
            </w:r>
            <w:r w:rsidR="00000000" w:rsidRPr="00000000" w:rsidDel="00000000">
              <w:rPr>
                <w:i w:val="1"/>
                <w:rtl w:val="0"/>
              </w:rPr>
              <w:t xml:space="preserve">izvērtējot esošo situāciju, tiek paredzēts mazināt administratīvo slogu atceļot normatīvajos aktos noteikto prasību, ka metālu atgriezumu un lūžņu iepirkšanai ir nepieciešama licence līdz ar to nebūs arī jāmaksā nodeva par šo licenci.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mazināsies administratīvais slogs ar šiem grozījumiem noteikumos saistībā ar konkrētās valsts nodevas samaksu, ņemot vērā, ka deleģējums attiecībā uz šo nodevu nav spēkā jau vairāk kā 2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likumprojekta "Grozījumi Atkritumu apsaimniekošanas likumā" anotācijas 3.sadaļā atspoguļota negatīva ietekme uz valsts budžeta ieņēmumiem, jau sākot ar 2023.gadu, kā pamatojumu norādot, ka </w:t>
            </w:r>
            <w:r w:rsidR="00000000" w:rsidRPr="00000000" w:rsidDel="00000000">
              <w:rPr>
                <w:i w:val="1"/>
                <w:rtl w:val="0"/>
              </w:rPr>
              <w:t xml:space="preserve">plānotā ietekme uz budžetu noteikta, ņemot vērā, ka ar likumprojektu tiek atceltas licences metālu atgriezumu un lūžņu iepirkšanai, kā arī valsts nodeva par attiecīgo licenču izsniegšanu.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Ziņas par lūžņiem, kas iepirkti no fiziskajām un juridiskajām personām un pārdoti juridiskajām personām, komersants reģistrē Iepirkto un realizēto lūžņu uzskaites žurnālā (turpmāk - lūžņu uzskaites žurnāls)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kas atrodas lūžņu iepirkšanas un uzglabāšanas vietā. Saskaņā ar atkritumu un to pārvadājumu uzskaites kārtībai komersants triju darbdienu laikā pēc attiecīgā mēneša beigām aizpilda vienu pavadzīmi mēnesī Atkritumu pārvadājumu uzskaites valsts informācijas sistēmā. Norādot ziņas par iepirktajiem lūžņiem no fiziskajām un juridiskajām personām un  pārdotajiem lūžņiem juridiskajām personām. Ja lūžņu uzskaites žurnāls tiek uzturēts elektroniski, komersantam pēc kontroles institūcijas pieprasījuma jānodrošina iespēja izdrukāt tajā iekļauto informāciju. Par sniegtās informācijas pareizību ir atbildīgs atkritumu apsaimniekotājs.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tiesību normas pirmajā teikumā vārdi “iepirkšanas (pārdošanas) dienā ieraksta” ir pamatoti aizstāti tikai ar vārdu “reģistrē”, izslēdzot nosacījumu, ka komersants ziņas par lūžņiem, kas iepirkti no fiziskajām un juridiskajām personām un pārdoti juridiskajām personām, reģistrē no juridiskajām (fiziskajām) personām iepirkto un realizēto lūžņu uzskaites žurnālā iepirkšanas (pārdošanas) dienā. VID ieskatā normas tekstā būtu jāsaglabā šis nosacījums, lai nerastos neskaidrības tās piemērošanā. Ja lūžņu uzskaites žurnāls netiks pildīts lūžņu iepirkšanas (pārdošanas) dienā, pārbaudes laikā lūžņu iepirkšanas vietā nebūs iespējams izsekot konkrētajā dienā veiktajiem darījumiem un negodprātīgiem komersantiem būs iespēja daļu no darījumiem neuzrādīt.  Ja ir plānots izslēgt tiesību normā jau šobrīd esošo nosacījumu, lūdzam papildināt anotāciju, norādot pamatojumu minētā nosacījuma izslēgšanai.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Šterna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Saimnieciskajā darbībā radušos lūžņus no individuālajiem komersantiem un fiziskajām personām, kas Valsts ieņēmumu dienestā reģistrējušās kā saimnieciskās darbības veicējas, atļauts iepirkt tikai tad, ja pārdevējs uzrāda personu apliecinošu dokumentu un komersanta reģistrācijas apliecību vai Valsts ieņēmumu dienesta izsniegto Nodokļu maksātāja reģistrācijas apliecību. Par šādu lūžņu iepirkšanu noformē lūžņu izcelsmes apliecinājuma aktu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pielikumu</w:t>
            </w:r>
            <w:r w:rsidR="00000000" w:rsidRPr="00000000" w:rsidDel="00000000">
              <w:rPr>
                <w:rtl w:val="0"/>
              </w:rPr>
              <w:t xml:space="preserve">). Aktu, kas noformēts papīra formā, sastāda divos eksemplāros. Noformēto aktu glabā pārdevējs un pircējs.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Valsts ieņēmumu dienesta izsniegto Nodokļu maksātāja reģistrācijas apliecību, jo Ministru kabineta noteikumi Nr. 537 "Noteikumi par nodokļu maksātāju un nodokļu maksātāju struktūrvienību reģistrāciju Valsts ieņēmumu dienestā" neparedz reģistrācijas apliecības izsniegšanu. Valsts ieņēmumu dienests informāciju par reģistrētu saimnieciskās darbības veicēju publicē Publiski pieejamā datubāzē.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Bondarenko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Savstarpējos norēķinus ar citu fizisko vai juridisko personu komersants ir tiesīgs veikt tikai bezskaidras naudas norēķinu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35.punkta, kas paredz komersanta savstarpējo norēķinu ar fizisko un juridisko personu veikšanu tikai bezskaidras naudas norēķinu veidā, svītrojumu.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kopš 2004. gada 1. janvāra normatīvajā regulējumā bijis noteikts, ka gan ar fiziskajām, gan juridiskajām personām norēķini veicami tikai bezskaidrā naudā. Šobrīd arvien lielāks akcents tiek likts uz bezskaidras naudas norēķiniem, jo tas ir viens no instrumentiem, kā mazināt valstī ēnu ekonomiku, tādēļ minētās normas svītrošanai nav saprotama pamatojuma. Arī Finanšu ministrijas mājas lapā publicēts skaidrojums, ka: “Viens no Ēnu ekonomikas ierobežošanas plāna 2024.-2027. gadam pasākumiem paredz veicināt bezskaidras naudas norēķinus, jo tiem ir vairākas priekšrocības attiecībā uz lielāku finanšu drošību un pārskatāmību un tie samazina administratīvo slogu. Tas ir pozitīvs solis ceļā uz modernāku un efektīvāku maksājumu sistēmas izveidi un ir viens no priekšnoteikumiem sekmīgai tautsaimniecības attīstībai. Tādēļ Finanšu ministrijā pievēršam īpašu uzmanību tam, cik pieejami, ērti, ātri un droši ir bezskaidras naudas norēķini Latvijas uzņēmumiem un iedzīvotājiem.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komersanta savstarpējie norēķini ar fizisko un juridisko personu tiks veikti skaidrā naudā, pastāv risks, ka komersanti (gan tie, kas pārdod, gan tie kas pērk) nedeklarēs visus metāllūžņu iepirkšanas un pārdošanas  darījumus, līdz ar to pastāv risks, ka komersantiem radīsies iespēja iegūt skaidru naudu “aplokšņu” algu izmaksai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Šterna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25-TA-775</w:t>
    </w:r>
    <w:r>
      <w:br/>
    </w:r>
    <w:r w:rsidR="00000000" w:rsidRPr="00000000" w:rsidDel="00000000">
      <w:rPr>
        <w:rtl w:val="0"/>
      </w:rPr>
      <w:t xml:space="preserve">Izdrukāts 06.06.2025.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25-TA-775</w:t>
    </w:r>
    <w:r>
      <w:br/>
    </w:r>
    <w:r w:rsidR="00000000" w:rsidRPr="00000000" w:rsidDel="00000000">
      <w:rPr>
        <w:rtl w:val="0"/>
      </w:rPr>
      <w:t xml:space="preserve">Izdrukāts 06.06.2025.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Atzinumi_25-TA-775.docx</dc:title>
</cp:coreProperties>
</file>

<file path=docProps/custom.xml><?xml version="1.0" encoding="utf-8"?>
<Properties xmlns="http://schemas.openxmlformats.org/officeDocument/2006/custom-properties" xmlns:vt="http://schemas.openxmlformats.org/officeDocument/2006/docPropsVTypes"/>
</file>