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starp budžeta izdevumu kodiem atbilstoši ekonomiskajām kategorijām Iekšlietu ministrijas budžeta programmā 07.00.00 "Ugunsdrošība, glābšana un civilā aizsardzība"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budžeta izdevumu kodiem atbilstoši ekonomiskajām kategorijām Iekšlietu ministrijas budžeta programmā 07.00.00 "Ugunsdrošība, glābšana un civilā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13.01.2023. (prot. Nr. 2 1. § 2. p.) sēdē nolemtajam budžeta resora “74. Gadskārtējā valsts budžeta izpildes procesā pārdalāmais finansējums” programmā 18.00.00 "Finansējums valsts drošības stiprināšanas pasākumiem" ir ieplānots finansējums ar valsts drošību saistītajam prioritārajam pasākumam </w:t>
            </w:r>
            <w:r w:rsidR="00000000" w:rsidRPr="00000000" w:rsidDel="00000000">
              <w:rPr>
                <w:u w:val="single"/>
                <w:rtl w:val="0"/>
              </w:rPr>
              <w:t xml:space="preserve">“Speciālo ugunsdzēsības un glābšanas transportlīdzekļu iegāde</w:t>
            </w:r>
            <w:r w:rsidR="00000000" w:rsidRPr="00000000" w:rsidDel="00000000">
              <w:rPr>
                <w:rtl w:val="0"/>
              </w:rPr>
              <w:t xml:space="preserve">”. Ar Ministru kabineta 02.05.2023. rīkojumu Nr. 245 (prot. Nr. 24 10. §) pārdalītā finansējuma mērķis ir </w:t>
            </w:r>
            <w:r w:rsidR="00000000" w:rsidRPr="00000000" w:rsidDel="00000000">
              <w:rPr>
                <w:u w:val="single"/>
                <w:rtl w:val="0"/>
              </w:rPr>
              <w:t xml:space="preserve">VUGD speciālo ugunsdzēsības un glābšanas transportlīdzekļu iegāde</w:t>
            </w:r>
            <w:r w:rsidR="00000000" w:rsidRPr="00000000" w:rsidDel="00000000">
              <w:rPr>
                <w:rtl w:val="0"/>
              </w:rPr>
              <w:t xml:space="preserve">, savukārt sagatavotais MK rīkojuma projekts paredz pārdalīt finansējumu citam mērķim – speciālā aprīkojuma un inventāra iegādei. Līdz ar to par pārdali citiem mērķiem no prioritārajiem pasākumiem 2023.—2025. gadam piešķirtā finansējuma atbilstoši likuma “Par valsts budžetu 2024. gadam un budžeta ietvaru 2024., 2025. un 2026. gadam” 54. pantā noteiktajam ir nepieciešams Ministru kabineta lēmums un Saeimas Budžeta un finanšu (nodokļu) komisijas akcepts. Ņemot vērā iepriekš minēto, lūdzam precizēt MK rīkojuma projektu 1. punkta redakciju, jo šāda pārdale starp budžeta izdevumu kodiem atbilstoši ekonomiskajām kategorijām nav uzskatāma par pārdali prioritārā pasākuma ietvaros, un papildināt MK rīkojuma projektu ar 3. punktu, kas paredz uzdevumu finanšu ministram normatīvajos aktos noteiktajā kārtībā informēt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24-TA-547</w:t>
    </w:r>
    <w:r>
      <w:br/>
    </w:r>
    <w:r w:rsidR="00000000" w:rsidRPr="00000000" w:rsidDel="00000000">
      <w:rPr>
        <w:rtl w:val="0"/>
      </w:rPr>
      <w:t xml:space="preserve">Izdrukāts 08.05.2024.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24-TA-547</w:t>
    </w:r>
    <w:r>
      <w:br/>
    </w:r>
    <w:r w:rsidR="00000000" w:rsidRPr="00000000" w:rsidDel="00000000">
      <w:rPr>
        <w:rtl w:val="0"/>
      </w:rPr>
      <w:t xml:space="preserve">Izdrukāts 08.05.2024.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Atzinumi_24-TA-547.docx</dc:title>
</cp:coreProperties>
</file>

<file path=docProps/custom.xml><?xml version="1.0" encoding="utf-8"?>
<Properties xmlns="http://schemas.openxmlformats.org/officeDocument/2006/custom-properties" xmlns:vt="http://schemas.openxmlformats.org/officeDocument/2006/docPropsVTypes"/>
</file>