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1.1.2. specifiskā atbalsta mērķa “Prasmju attīstīšana viedās specializācijas,  industriālās pārejas un uzņēmējdarbības veicināšanai” 1.1.2.1. pasākuma "RIS3 industriālās prasmes"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finansējuma saņēmēja projekta vadības personāla izmaksas (izņemot virsstundas) šo noteikumu </w:t>
            </w:r>
            <w:r w:rsidR="00000000" w:rsidRPr="00000000" w:rsidDel="00000000">
              <w:rPr>
                <w:rtl w:val="0"/>
              </w:rPr>
              <w:t xml:space="preserve">18.</w:t>
            </w:r>
            <w:r w:rsidR="00000000" w:rsidRPr="00000000" w:rsidDel="00000000">
              <w:rPr>
                <w:rtl w:val="0"/>
              </w:rPr>
              <w:t xml:space="preserve">punktā minēto darbību īstenošanai, paredzot projekta vadības personāla izmaksu ierobežojumu līdz 84 787 euro kalendāra gadā un personāla noslodzi vismaz 30 procentu apmērā gadījumos, kad personāla iesaiste projektā ir nodrošināta saskaņā ar daļlaika attiecināmības principu, atlīdzības izmaksās iekļaujot normatīvajos aktos noteiktās piemaksas un sociālo garantiju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20.1. apakšpunkts paredz atlīdzības izmaksās iekļaut "normatīvajos aktos noteiktās piemaksas un sociālo garantiju izmaksas”. Atbilstoši juridiskās tehnikas prasībām tiesību normai ir jābūt skaidrai, lai tās lietotājs un piemērotājs gūtu nepārprotamu priekšstatu par saviem pienākumiem un tiesībām. Līdz ar to noteikumu projekta 20.1. apakšpunktā nepieciešams ietvert norādi uz konkrētu normatīvo aktu (likumu) vai normatīvo aktu jomu, kuros šie jautājumi ir regulēti, atbilstoši Ministru kabineta 2009. gada 3. februāra noteikumu Nr. 108 "Normatīvo aktu projektu sagatavošanas noteikumi" 3.7. apakšnodaļai.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finansējuma saņēmēja un sadarbības partnera projekta īstenošanas personāla izmaksas, gadījumos kad personāla iesaiste projektā ir nodrošināta saskaņā ar daļlaika attiecināmības principu personālam ar noslodzi līdz 30 procentiem, atlīdzības izmaksās iekļaujot tikai darbinieka algu bez normatīvajos aktos noteiktajām piemaksām un sociālo garantiju izmaksām;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20.2.2. apakšpunkts paredz atlīdzības izmaksās iekļaut tikai darbinieka algu "bez normatīvajos aktos noteiktajām piemaksām un sociālo garantiju izmaksām”. Atbilstoši juridiskās tehnikas prasībām tiesību normai ir jābūt skaidrai, lai tās lietotājs un piemērotājs gūtu nepārprotamu priekšstatu par saviem pienākumiem un tiesībām. Līdz ar to noteikumu projekta 20.2.2. apakšpunktā nepieciešams ietvert norādi uz konkrētu normatīvo aktu (likumu) vai normatīvo aktu jomu, kuros šie jautājumi ir regulēti, atbilstoši Ministru kabineta 2009. gada 3. februāra noteikumu Nr. 108 "Normatīvo aktu projektu sagatavošanas noteikumi" 3.7. apakšnodaļai.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w:t>
    </w:r>
    <w:r>
      <w:br/>
    </w:r>
    <w:r w:rsidR="00000000" w:rsidRPr="00000000" w:rsidDel="00000000">
      <w:rPr>
        <w:rtl w:val="0"/>
      </w:rPr>
      <w:t xml:space="preserve">Izdrukāts 09.06.2025. 14.30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w:t>
    </w:r>
    <w:r>
      <w:br/>
    </w:r>
    <w:r w:rsidR="00000000" w:rsidRPr="00000000" w:rsidDel="00000000">
      <w:rPr>
        <w:rtl w:val="0"/>
      </w:rPr>
      <w:t xml:space="preserve">Izdrukāts 09.06.2025. 14.30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Atzinumi_25-TA-274.docx</dc:title>
</cp:coreProperties>
</file>

<file path=docProps/custom.xml><?xml version="1.0" encoding="utf-8"?>
<Properties xmlns="http://schemas.openxmlformats.org/officeDocument/2006/custom-properties" xmlns:vt="http://schemas.openxmlformats.org/officeDocument/2006/docPropsVTypes"/>
</file>