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“Gaujas NP Raiskums” Raiskuma pagastā, Cēsu novadā, daļu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kā rīkojuma projekta izdošanas pamatojums norādīta Publiskas personas mantas atsavināšanas likuma 42. panta otrā daļa un 43. pants. Paskaidrojam, ka Publiskas personas mantas atsavināšanas likuma 42. panta otrā daļa un 43. pants piemērojama tikai tajos gadījumos, kad tiek ierosināta un notiek publiskas personas mantas atsavināšana bez atlīdzības. Atsavināšana saskaņā ar minētā likuma 1. panta 1. punktu ir publiskas personas mantas pārdošana, mainīšana, ieguldīšana kapitālsabiedrībā un nodošana bez atlīdzības, kā rezultātā īpašuma tiesības no mantas atsavinātāja pāriet mantas ieguvējam. Ņemot vērā minēto un to, ka rīkojuma projekta pieņemšanas gadījumā īpašuma tiesības uz rīkojuma projekta 1. punktā minēto nekustamo īpašumu saglabāsies valstij, mainoties tikai valsts īpašuma daļu valdītājam, no rīkojuma projekta anotācijas sadaļas “Pamatojums” būtu dzēšama atsauce uz Publiskas personas mantas atsavināšanas likuma 42. panta otro daļu un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pēdējā rindkopā norādīts, ka </w:t>
            </w:r>
            <w:r w:rsidR="00000000" w:rsidRPr="00000000" w:rsidDel="00000000">
              <w:rPr>
                <w:u w:val="single"/>
                <w:rtl w:val="0"/>
              </w:rPr>
              <w:t xml:space="preserve">taisnīga atlīdzība </w:t>
            </w:r>
            <w:r w:rsidR="00000000" w:rsidRPr="00000000" w:rsidDel="00000000">
              <w:rPr>
                <w:rtl w:val="0"/>
              </w:rPr>
              <w:t xml:space="preserve">par nekustamo īpašumu aprēķināta un apstiprināta, ievērojot normatīvajos aktos noteikto kārtību. Ņemot vērā, ka rīkojuma projekts paredz tikai valsts īpašumā esoša nekustamā īpašuma daļas valdītāja maiņu, nav saprotams, kāpēc un kāda taisnīga atlīdzība ir aprēķināta saistībā ar rīkojuma projektu. Ņemot vērā minēto, aicinām šo tiesisko aspektu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lai apliecinātu projektā regulēto tiesisko attiecību likumību, Tiesību akta lietai nepieciešams pievienot īpašuma tiesību apliecinošus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pārņemt no Vides aizsardzības un reģionālas attīstības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ierakstīt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ka zemesgrāmatās ieraksta nekustamus īpašumus un nostiprina ar tiem saistītās tiesības, kā arī ņemot vērā, ka nekustamais īpašums, kura daļas ar rīkojumu tiek plānots nodot, saskaņā ar anotācijā sniegto informāciju ir jau zemesgrāmatā ierakstītas, tāpat arī, ņemot vērā praksi līdzīgu rīkojuma projektu sagatavošanā (piemēram, https://likumi.lv/ta/id/335004-par-valsts-nekustama-ipasuma-sederes-pagasta-augsdaugavas-novada-dalas-nodosanu-zemkopibas-ministrijas-valdijuma; https://likumi.lv/ta/id/330050-par-valsts-nekustamo-ipasumu-dalu-nodosanu-iekslietu-ministrijas-valdijuma), ierosinām rīkojuma projekta 2. punktā nevis paredzēt, ka nekustamā īpašuma daļas tiek ierakstītas zemesgrāmatā uz valsts vārda Satiksmes ministrijas personā, bet gan ka uz nekustamā īpašuma daļām Satiksmes ministrija normatīvajos aktos noteiktajā kārtībā nostiprina zemesgrāmatā īpašuma tiesības uz valsts vārda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23-TA-1762</w:t>
    </w:r>
    <w:r>
      <w:br/>
    </w:r>
    <w:r w:rsidR="00000000" w:rsidRPr="00000000" w:rsidDel="00000000">
      <w:rPr>
        <w:rtl w:val="0"/>
      </w:rPr>
      <w:t xml:space="preserve">Izdrukāts 27.07.2023.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23-TA-1762</w:t>
    </w:r>
    <w:r>
      <w:br/>
    </w:r>
    <w:r w:rsidR="00000000" w:rsidRPr="00000000" w:rsidDel="00000000">
      <w:rPr>
        <w:rtl w:val="0"/>
      </w:rPr>
      <w:t xml:space="preserve">Izdrukāts 27.07.2023.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Atzinumi_23-TA-1762.docx</dc:title>
</cp:coreProperties>
</file>

<file path=docProps/custom.xml><?xml version="1.0" encoding="utf-8"?>
<Properties xmlns="http://schemas.openxmlformats.org/officeDocument/2006/custom-properties" xmlns:vt="http://schemas.openxmlformats.org/officeDocument/2006/docPropsVTypes"/>
</file>