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Līdzdalības fondu ieviesējs, pamatojoties uz regulas Nr. 2021/1060 59. panta 3. punkta "c" apakšpunktu, ir sabiedrība "Altum". Sabiedrība "Altum" šo noteikumu 2. punktā minēto specifiskā atbalsta mērķu un pasākumu ietvaros tiešo vai netiešo finanšu instrumentu, kā arī kombinēto finanšu instrumentu  veidā rīkojas kā privāto tiesību subjekts saskaņā ar atbalsta programmām un finansēšanas nolīgumu, pieņemot lēmumus un noslēdzot līgumus ar gala saņēmējiem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2023. gada 5. septembra noteikumos Nr. 510 "Eiropas Savienības kohēzijas politikas programmas 2021.–2027. gadam finanšu instrumentu kopīgie īstenošanas noteikumi"" (turpmāk – projekts) 17. punktā ietvertajā Ministru kabineta 2023. gada 5. septembra noteikumu Nr. 510 "Eiropas Savienības kohēzijas politikas programmas 2021.–2027. gadam finanšu instrumentu kopīgie īstenošanas noteikumi" (turpmāk – Noteikumi) 18. punktā ir paredzēts, ka akciju sabiedrība "Attīstības finanšu institūcija Altum" (turpmāk – Altum) Noteikumu 2. punktā minēto specifiskā atbalsta mērķu un pasākumu ietvaros tiešo vai netiešo finanšu instrumentu, kā arī kombinēto finanšu instrumentu veidā rīkojas kā privāto tiesību subjekts saskaņā ar atbalsta programmām un finansēšanas nolīgumu, pieņemot lēmumus un noslēdzot līgumus ar gala saņēmējiem privāttiesību jomā. Vēršam uzmanību uz to, ka Tieslietu ministrija jau iepriekš (</w:t>
            </w:r>
            <w:r w:rsidR="00000000" w:rsidRPr="00000000" w:rsidDel="00000000">
              <w:rPr>
                <w:i w:val="1"/>
                <w:rtl w:val="0"/>
              </w:rPr>
              <w:t xml:space="preserve">skatīt, piemēram, Tieslietu ministrijas 2025. gada 7. aprīļa atzinumu par Ministru kabineta noteikumu projektu "Grozījumi Ministru kabineta 2021. gada 6. jūlija noteikumos Nr. 503 "Noteikumi par aizdevumiem ar kapitāla atlaidi eksportējošiem komersantiem lielo investīciju projektu atbalstam"" (25-TA-31)</w:t>
            </w:r>
            <w:r w:rsidR="00000000" w:rsidRPr="00000000" w:rsidDel="00000000">
              <w:rPr>
                <w:rtl w:val="0"/>
              </w:rPr>
              <w:t xml:space="preserve">) ir vērsusi Ekonomikas ministrijas uzmanību uz to, ka Altum lēmumu tiesiskā daba ir analizēta Latvijas Republikas Senāta Administratīvo lietu departamenta 2024. gada 15. novembra lēmumā lietā Nr. SKA-839/2024, kurā ir secināts, ka "nav šaubu, ka process – valsts atbalsta piešķiršana – ir publiski tiesisks. Tas vien, ka tā ietvaros tiek vērtēta pretendenta atbilstība privāttiesībām raksturīgiem kritērijiem, nevar padarīt šo procesu privāttiesisku" (</w:t>
            </w:r>
            <w:r w:rsidR="00000000" w:rsidRPr="00000000" w:rsidDel="00000000">
              <w:rPr>
                <w:i w:val="1"/>
                <w:rtl w:val="0"/>
              </w:rPr>
              <w:t xml:space="preserve">sk. minētā tiesas lēmuma 7. punktu</w:t>
            </w:r>
            <w:r w:rsidR="00000000" w:rsidRPr="00000000" w:rsidDel="00000000">
              <w:rPr>
                <w:rtl w:val="0"/>
              </w:rPr>
              <w:t xml:space="preserve">). Vienlaikus minētajā tiesas lēmumā ir secināts, ka "Altum ir deleģēta publiska funkcija – valsts atbalsta piešķiršana. Valsts atbalsts tiek sniegts no publiskiem resursiem" (</w:t>
            </w:r>
            <w:r w:rsidR="00000000" w:rsidRPr="00000000" w:rsidDel="00000000">
              <w:rPr>
                <w:i w:val="1"/>
                <w:rtl w:val="0"/>
              </w:rPr>
              <w:t xml:space="preserve">sk. minētā tiesas lēmuma 9. punktu</w:t>
            </w:r>
            <w:r w:rsidR="00000000" w:rsidRPr="00000000" w:rsidDel="00000000">
              <w:rPr>
                <w:rtl w:val="0"/>
              </w:rPr>
              <w:t xml:space="preserve">). Ievērojot minēto, Altum rīkojas tai deleģētā valsts pārvaldes uzdevuma ietvaros un pieņem lēmumus publisko tiesību jomā, proti, izdod administratīvos aktus. Savukārt līgums, kas tiek noslēgts ar atbalsta saņēmējiem, var tikt slēgts privāttiesību jomā. Ņemot vērā minēto, lūdzam precizēt projekta 17. punktā ietverto Noteikumu 18. punkta otro teikumu, kā arī attiecīgi precizēt projekta sākotnējās ietekmes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lēmuma tiesisko dabu nosaka konkrētā lēmuma būtība, tādējādi, ja Altum pieņemtie lēmumi atbilst Administratīvā procesa likuma 1. panta trešajā daļā noteiktajai administratīvā akta definīcijai, ar Ministru kabineta noteikumiem nevar mainīt likumdevēja regulējumu par to, kas ir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nodrošināt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šo prasību nodrošināšanu pie gala saņēmēja. Veikt korektīvos pasākumus ja konstatē komunikācijas un dizaina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26.1.6. apakšpunktā norādīta atsauce uz nesaistošiem dokumentiem (vadlīnijām), lidz ar to lūdzam svītrot atsauci uz vadlīnijām un minēto informāciju norādīt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informācijas un publicitātes pasākumus, saskaņā ar regulas  Nr. 2021/1060 47. pantu un 50. panta 1. un 2. punkta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Uzraudzīt, vai gala saņēmējs ievēro minētās prasības, un, ja tiek konstatēta komunikācijas un dizaina prasību neievērošana, veikt atbilstošus korektīvos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nodrošināt informācijas pieejamību 10 gadus, skaitot no dienas, kad gala saņēmējiem ir piešķirts individuālais atbalsts un atbalsts saskaņā ar shēmu, uzturot detalizētus ierakstus, kuros ir informācija un atbilstošie dokumenti, lai pārliecinātos, ka visi šo noteikumu un attiecīgās atbalsta programmas nosacījumi ir izpildīti atbilstoši Eiropas Komisijas 2022. gada 18. novembra Lēmumam Nr. SA.100013 (2022/N) –</w:t>
            </w:r>
            <w:r w:rsidR="00000000" w:rsidRPr="00000000" w:rsidDel="00000000">
              <w:rPr>
                <w:i w:val="1"/>
                <w:rtl w:val="0"/>
              </w:rPr>
              <w:t xml:space="preserve"> Latvia </w:t>
            </w:r>
            <w:r w:rsidR="00000000" w:rsidRPr="00000000" w:rsidDel="00000000">
              <w:rPr>
                <w:rtl w:val="0"/>
              </w:rPr>
              <w:t xml:space="preserve">"</w:t>
            </w:r>
            <w:r w:rsidR="00000000" w:rsidRPr="00000000" w:rsidDel="00000000">
              <w:rPr>
                <w:i w:val="1"/>
                <w:rtl w:val="0"/>
              </w:rPr>
              <w:t xml:space="preserve">Funding and remit of Altum until 2029</w:t>
            </w:r>
            <w:r w:rsidR="00000000" w:rsidRPr="00000000" w:rsidDel="00000000">
              <w:rPr>
                <w:rtl w:val="0"/>
              </w:rPr>
              <w:t xml:space="preserve">" (turpmāk – EK lēmums par sabiedrības "Altum" darbību) un atbilstoši regulas Nr. 2021/1060 82.panta 1.punktam.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26.1.7. apakšpunktā ietverta atsauce uz Eiropas Komisijas 2022. gada 18. novembra Lēmumu Nr. SA.100013 (2022/N) – Latvia "Funding and remit of Altum until 2029" (turpmāk – EK lēmums), nosakot pienākumu ievērot šī lēmuma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pantu lēmumi ir saistoši tikai lēmuma adresātiem. Ja lēmuma adresāts ir dalībvalsts un ir nepieciešams padarīt tajā ietvertās normas saistošas privātpersonām, tās jāpārņem nacionālajā tiesību sistēmā līdzīgi kā direktīvas. EK lēmums ir adresēts Latvijai kā dalībvalstij un nav vispārēji piemērojams privātpersonām. Tādēļ, lai EK lēmumā ietvertās prasības būtu saistošas gala saņēmējiem, tās ir jāiekļauj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26.1.7. apakšpunktā svītrot atsauci uz EK lēmumu un, ja nepieciešams, iekļaut attiecīgo pienākumu kā skaidri formulētu tiesību normu, lai nodrošinātu skaidru piemērojamību un atbilstību Līguma par Eiropas Savienības darbību 288.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informācijas pieejamību 10 gadus, skaitot no dienas, kad gala saņēmējiem ir piešķirts individuālais atbalsts un atbalsts saskaņā ar shēmu, uzturot detalizētus ierakstus, kuros ir informācija un atbilstošie dokumenti, lai pārliecinātos, ka visi šo noteikumu un attiecīgās atbalsta programmas nosacījumi ir izpildīti atbilstoši regulas Nr. 2021/1060 82.panta 1.punktam.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12.05.2025.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12.05.2025.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Atzinumi_25-TA-489.docx</dc:title>
</cp:coreProperties>
</file>

<file path=docProps/custom.xml><?xml version="1.0" encoding="utf-8"?>
<Properties xmlns="http://schemas.openxmlformats.org/officeDocument/2006/custom-properties" xmlns:vt="http://schemas.openxmlformats.org/officeDocument/2006/docPropsVTypes"/>
</file>