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(Likumprojekta ietekme uz budžetu 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likumā "Par zemes dzīlēm" (Latvijas Republikas Saeimas un Ministru Kabineta Ziņotājs, 1996, 13. nr.; 1999, 6. nr.; 2000, 18. nr.; 2005, 2. nr.; 2006, 22. nr.; 2009, 14. nr.; Latvijas Vēstnesis, 2010, 106., 178., 205. nr.; 2013, 106. nr.; 2018, 3. nr.; 2019, 240. nr.; 2020, 119C. nr.; 2021, 48.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Vides aizsardzības un reģionālās attīstības ministrijas (turpmāk – VARAM) izstrādāto un precizēto likumprojektu “Grozījumi likumā "Par zemes dzīlēm"” (22-TA-2212).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likumprojekta ietekmi un faktisko situāciju, LTRK ieskatā VARAM pirms likumprojekta tālāks virzības skaidri jānosaka gadījumus, pie kuriem var ierobežot ogļūdeņražu izpētes un ieguves darbus, vienlaikus nodrošinot ogļūdeņražu izpētes un ieguves darbu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vērš VARAM uzmanību, ka ogļūdeņražu izpētes un ieguves process ir ļoti sarežģīts – gadījumos, kad administratīvu iemeslu dēļ jāierobežo ogļūdeņražu izpēte un ieguve, nepieciešams regulējums, kas ļauj saglabāt ogļūdeņražu izpētes un ieguves vietas izmantojamību nākotnē. Proti, LTRK ieskatā ir nepieciešams tiesisks ietvars, kas ļauj nezaudēt uzsākto urbumu, situācijās, kad zemes dzīļu izmantošanas rezultātā netiek radīti draudi cilvēka veselībai un videi, bet notiek administratīvu jautājumu risināšana. Līdz šim spēkā esošais regulējums un likumprojekta piedāvātie grozījumi nav vērsti uz veikto investīciju aizsardzību, kas kopumā neveicina ogļūdeņražu izpētes un ieguves nozares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12.06.2024. 16.25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12.06.2024. 16.25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