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Sadarbības iestāde veic pārbaudi projektu īstenošanas vietā, ja par pārbaudes konkrētiem aspektiem nav iespējams pārliecināties citās pārbaudēs (maksājuma pieprasījuma pārbaudē, iepirkuma pirmspārbaudē vai iepirkuma pārbaudē).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sniegto skaidrojumu, lūdzam papildināt noteikumu projekta anotāciju ar informāciju, ka sadarbības iestādes, vadošā iestādes un revīzijas iestādes pārbaužu apjomā ir ietverts nosacījums, ka tiek pabaudīta arī horizontālo principu ievērošana, ja tas ir attiecināms, kā arī minētās pārbaudes ES fondu 2021.-2027.gada plānošanas periodā tiks detalizētāk aprakstītas vadošās iestādes pārbaužu vadlīnijās.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05.01.2023.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05.01.2023.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Atzinumi_22-TA-1963.docx</dc:title>
</cp:coreProperties>
</file>

<file path=docProps/custom.xml><?xml version="1.0" encoding="utf-8"?>
<Properties xmlns="http://schemas.openxmlformats.org/officeDocument/2006/custom-properties" xmlns:vt="http://schemas.openxmlformats.org/officeDocument/2006/docPropsVTypes"/>
</file>