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likumā "Par ietekmes uz vidi novērtējumu"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Kūdras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02.12.2024.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likuma "Par ietekmes uz vidi novērtējumu" 13. pantu  ar jaunu daļu, kas nosaka, ka, ja derīgo izrakteņu ieguvei jāsaņem zemes dzīļu izmantošanas licence, pēc sākotnējā novērtējuma tehniskos noteikumus neizsniedz. Attiecīgi papildināma likumprojekta anotācija, kur jāpaskaidro, ka vides prasības ieraksta licences nosacījumos. Ministru kabineta 2015. gada 27. janvāra noteikumu Nr.30 “Kārtība, kādā Valsts vides dienests izdod tehniskos noteikumus paredzētajai darbībai” 2. punktā iekļauts izņēmums attiecībā uz tehnisko noteikumu saņemšanu: “2. Tehniskajos noteikumos noteiktas vides aizsardzības prasības paredzētajai darbībai (turpmāk – darbība) tās norises vietā. Minētās prasības ir saistošas personai, kas veic darbību. Tehniskie noteikumi ir nepieciešami darbībām, kurām pēc sākotnējā izvērtējuma veikšanas nav nepieciešams ietekmes uz vidi novērtējums saskaņā ar likumu “Par ietekmes uz vidi novērtējumu” (izņemot gadījumu, ja darbības veikšanai dienestā jāsaņem zemes dzīļu izmantošanas licence), vai šo noteikumu pielikumā minētajām darbībām.” Tomēr asociācija ir konstatējusi, ka ar noteikumos pieminētu izņēmumu nav pietiekami, lai atbildīgās iestādes to izprastu un ņemtu vērā. Ir nepieciešams likumā nepārprotami norādīt, ka ka pēc sākotnējā izvērtējuma tehniskie noteikumi nav jāsaņem.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 ietekmes sākotnējo izvērtējumu veic, gan zemes dzīļu izmantošanas licenci izsniedz viena iestāde – Valsts vides dienests. Nav saprātīgi, ka viena iestāde par vienu darbību izsniedz divus dokumentus – zemes dzīļu izmantošanas licenci un tehniskos noteikumus. Prasības, kas jāievēro derīgo izrakteņu ieguves procesā, jāiekļauj licences pielikumā. Ministru kabineta 2011.gada 6.septembra noteikumu Nr.696  “Zemes dzīļu izmantošanas licenču un bieži sastopamo derīgo izrakteņu ieguves atļauju izsniegšanas kārtība, kā arī publiskas personas zemes iznomāšanas kārtība zemes dzīļu izmantošanai” 32.1. apakšpunkts nosaka, ka viens no licences pielikumiem ir zemes dzīļu izmantošanas nosacījumi (prasības, kuras jāievēro, izmantojot zemes dzīles).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2</w:t>
            </w:r>
            <w:r w:rsidR="00000000" w:rsidRPr="00000000" w:rsidDel="00000000">
              <w:rPr>
                <w:rtl w:val="0"/>
              </w:rPr>
              <w:t xml:space="preserve">) Derīgo izrakteņu ieguvei, kuru veic saskaņā ar zemes dzīļu izmantošanas licenci, tehniskos noteikumus neizdod.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Ozola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02.12.2024. 15.36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24-TA-453</w:t>
    </w:r>
    <w:r>
      <w:br/>
    </w:r>
    <w:r w:rsidR="00000000" w:rsidRPr="00000000" w:rsidDel="00000000">
      <w:rPr>
        <w:rtl w:val="0"/>
      </w:rPr>
      <w:t xml:space="preserve">Izdrukāts 02.12.2024. 15.36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Atzinumi_24-TA-453.docx</dc:title>
</cp:coreProperties>
</file>

<file path=docProps/custom.xml><?xml version="1.0" encoding="utf-8"?>
<Properties xmlns="http://schemas.openxmlformats.org/officeDocument/2006/custom-properties" xmlns:vt="http://schemas.openxmlformats.org/officeDocument/2006/docPropsVTypes"/>
</file>