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21-TA-421: Noteikumu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"Radioiekārtu atbilstības novērtēšanas, piedāvāšanas tirgū, uzstādīšanas, lietošanas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tikai noteikumu projekta 67.punktā ir pievienots šāds teksts: “Ja uz radioiekārtu attiecas vairāk nekā viens normatīvais akts, kurā prasīta atbilstības deklarācija, sagatavo vienu atbilstības deklarāciju attiecībā uz visiem piemērojamiem normatīvajiem aktiem, kuri nosaka saskaņotus preču tirdzniecības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minēto tekstu atstāj 67.punktā, tad tādu pašu ir jāpievieno arī 31.2. apakšpunktā un 48.punktā.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Vāvere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66. punktā minētā atsauce neatbilst vienotai noteikumos ieviestajai atsaucei. Priekšlikums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Katru radioiekārtu, kas atbilst šo noteikumu </w:t>
            </w:r>
            <w:r w:rsidR="00000000" w:rsidRPr="00000000" w:rsidDel="00000000">
              <w:rPr>
                <w:u w:val="single"/>
                <w:rtl w:val="0"/>
              </w:rPr>
              <w:t xml:space="preserve">2. nodaļā noteiktajām prasībām</w:t>
            </w:r>
            <w:r w:rsidR="00000000" w:rsidRPr="00000000" w:rsidDel="00000000">
              <w:rPr>
                <w:rtl w:val="0"/>
              </w:rPr>
              <w:t xml:space="preserve">, ražotājs saskaņā ar šo noteikumu 73.1. apakšpunktu marķē ar CE atbilstības marķējumu un uzliek šo noteikumu 73.2. apakšpunktā minētās paziņotās institūcijas identifikācijas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Vāvere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47. punktā minētā atsauce neatbilst vienotai noteikumos ieviestajai atsaucei. Priekšlikums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Ražotājs veic visus vajadzīgos pasākumus, lai ražošanas process un tā uzraudzība nodrošinātu saražoto radioiekārtu atbilstību ES tipa pārbaudes sertifikātā aprakstītajam apstiprinātajam tipam un šo noteikumu </w:t>
            </w:r>
            <w:r w:rsidR="00000000" w:rsidRPr="00000000" w:rsidDel="00000000">
              <w:rPr>
                <w:u w:val="single"/>
                <w:rtl w:val="0"/>
              </w:rPr>
              <w:t xml:space="preserve">2. nodaļā noteiktajām prasībām</w:t>
            </w:r>
            <w:r w:rsidR="00000000" w:rsidRPr="00000000" w:rsidDel="00000000">
              <w:rPr>
                <w:rtl w:val="0"/>
              </w:rPr>
              <w:t xml:space="preserve">, kas attiecas uz radioiekārtām.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Vāvere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punktā minētā atsauce neatbilst vienotai noteikumos ieviestajai atsaucei. Priekšlikums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Iekšējā ražošanas kontrole ir atbilstības novērtēšanas procedūra, ar kuru ražotājs izpilda šo noteikumu 31. un 32. punktā paredzētos pienākumus un uz savu atbildību nodrošina un deklarē, ka attiecīgās radioiekārtas atbilst šo noteikumu </w:t>
            </w:r>
            <w:r w:rsidR="00000000" w:rsidRPr="00000000" w:rsidDel="00000000">
              <w:rPr>
                <w:u w:val="single"/>
                <w:rtl w:val="0"/>
              </w:rPr>
              <w:t xml:space="preserve">2. nodaļā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Vāvere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 punktā veiktie labojumi neatbilst  RED Direktīvas 2014/53/ES 17.panta 4.punkta būtībai. Priekšlikums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novērtējot radioiekārtu atbilstību šo noteikumu 8.1., 8.4.1., 8.4.2., 8.4.3., 8.4.4., 8.5. un 8.6. apakšpunktā minētajām būtiskajām prasībām, ražotājs nav izmantojis piemērojamos standartus, uz kuriem atsauces ir publicētas Eiropas Savienības Oficiālajā Vēstnesī, vai piemērojis tos daļēji, vai arī šādu standartu nav, radioiekārtai attiecībā uz šīm būtiskajām prasībām izmanto kādu no šādām atbilstības novērtēšanas procedūrām: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Vāvere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punktā veiktie labojumi neatbilst  RED Direktīvas 2014/53/ES 17.panta 3.punkta būtībai. Priekšlikums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novērtējot radioiekārtu atbilstību šo noteikumu 8.1., 8.4.1., 8.4.2., 8.4.3., 8.4.4., 8.5. un 8.6. apakšpunktā minētajām būtiskajām prasībām, ražotājs ir izmantojis piemērojamos standartus, uz kuriem atsauces ir publicētas Eiropas Savienības Oficiālajā Vēstnesī, tas izmanto kādu no šādām atbilstības novērtēšanas procedūrām: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Vāvere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 punktā veiktais papildinājums neatbilst  RED Direktīvas 2014/53/ES 17.panta 2.punkta būtībai. Priekšlikums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Ražotājs radioiekārtu atbilstību šo noteikumu 8.2. un 8.3. apakšpunktā minētajām būtiskajām prasībām demonstrē, izmantojot kādu no šādām atbilstības novērtēšanas procedūrām: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Vāvere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un 10. punktā ir atsauces uz RED Direktīvas 2014/53/ES 3.3.panta d,e,f būtiskajām prasībām. Minētajiem punktiem nav iedota sasaistes ar noteikumu projekta 8.4.2-  8.4.4.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Vāvere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4.4. apakšpunkts ir papildināts ar izņēmuma gadījumu “aizsardzības un 115 nodrošināšanai”. Nav saprotams, kas tie ir par aizsardzības un 115 nodrošināšanas gadījumiem, jo RED Direktīvas 2014/53/ES 1.panta 3.punktā noteiktais izņēmuma gadījums par valsts aizsardzību ir noteikumu projekta 4.6.apakšpunktā. Kamēr nav skaidrojuma, aicinām šo papildinājumu nelikt un atstāt noteikumus iepriekšējā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radioiekārtām, kuras paredzētas vienīgi sabiedriskās kārtības, valsts drošības (ieskaitot valsts ekonomisko labklājību) nodrošināšanai un valsts darbībām krimināltiesību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Vāvere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147. punktā nav saliktas visas atsauces uz noteikuma projekta punktiem. Priekšlikums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Aizsardzības ministrija nodrošina, ka šo noteikumu 2.1.apakšpunktā, 145. un 149. punktā minētās radioiekārtas tiek lietotas, ievērojot radiofrekvences piešķīruma lietošanas atļaujā noteiktos nosacījumus, normatīvos aktus radiofrekvenču spektra lietošanas jomā, kā arī šo noteikumu prasības, ciktāl tās attiecas uz minētajām radioiekārtām.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Vāvere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noteikuma projekta 145.punktā izņemt vārdu “tikai”. Priekšlikums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Šo noteikumu 115.12., 115.13., 116.9., 116.10., 116.11., 116.13., 116.16., 124.1., 124.3., 124.6., 124.8., 124.9., 124.11., 124.12. apakšpunkts un 125., 129., 130., 131., 132., 143. un 144. punkts neattiecas uz militārām vajadzībām lietotām radioiekārtām, kuras paredzētas valsts aizsardzībai un kuras tiek lietotas nacionālajā radiofrekvenču plānā noteiktajās radiofrekvenču joslās, kuras iedalītas aizsardzības sistēmu un civilo radiosakaru sistēmu koplietošanai.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Vāvere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11.10.2023.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11.10.2023.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Atzinumi_21-TA-421.docx</dc:title>
</cp:coreProperties>
</file>

<file path=docProps/custom.xml><?xml version="1.0" encoding="utf-8"?>
<Properties xmlns="http://schemas.openxmlformats.org/officeDocument/2006/custom-properties" xmlns:vt="http://schemas.openxmlformats.org/officeDocument/2006/docPropsVTypes"/>
</file>