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2024.gada 13.marta atzinumā izteikto iebildumu, kas paredz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1.3.sadaļas daļu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tiks integrēta Pilsonības un migrācijas lietu pārvaldes datu kopā, kura satur visas Latvijas Republikā deklarētās un reģistrētās fiziskās personas un Ukrainas civiliedzīvotājus, kuriem noteikts pagaidu aizsardzības statuss un Latvijas Republikā ir norādītā dzīvesvietas adrese. Informācija no Pilsonības un migrācijas lietu pārvaldes pārziņā esošās valsts informācijas sistēmas “Fizisko personu reģistrs” (turpmāk – FPRIS) tiks iegūta par fiziskām personām, kuru statuss FPRIS ir “aktīvs” un FPRIS nav iekļautas ziņas par personas miršanu. Pilsonības un migrācijas lietu pārvaldes sniegtie dati saturēs personas vārdu un uzvārdu, personas kodu, personas deklarēto vai reģistrēto adresi, vai Ukrainas civiliedzīvotāju gadījumā norādīto dzīvesvietas adresi, kā arī attiecīgo adrešu Valsts zemes dienesta Valsts adrešu reģistra kodus. Attiecīgo informāciju Pilsonības un migrācijas lietu pārvaldes iesniegs Birojam iepriekš sagatavotā xml failā, to augšupielādējot, vai caur Datu izplatīšanas tīkla failapmaiņas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Energoapgādes izmaksu valsts atbalsta likuma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no Pilsonības un migrācijas lietu pārvaldes sniedzamais datu apjoms un nodošanas veids. Norādām, ka datu nodošanas struktūra iepriekš tika saskaņota ar Būvniecības valsts kontroles biroju.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2024.gada 13.marta atzinumā izteikto iebildumu, kas paredz precizēt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1.3.sadaļu atbilstoši projektā noteiktajam, ņemot vērā, ka nav nodrošināta konsekvences ievērošana starp projekta 76.punkta ievaddaļu un projekta anotācijas 1.3.sadaļas daļā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1.3.sadaļas daļā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ir noteikts, ka līdz mēneša 5.darbdienai Pilsonības un migrācijas lietu pārvalde iesniedz EIKIS datus par visu Latvijas Republikas personu deklarētajām un reģistrētajām dzīves vietas adresēm, kā arī Ukrainas civiliedzīvotāju, kuriem Latvijas Republikā piešķirts pagaidu aizsardzības statuss, un kuriem Latvijas Republikā ir norādītās dzīvesvietas adreses, kas fiksētas uz mēneša pirmo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76.punkta ievaddaļas joprojām izriet, ka Pilsonības un migrācijas lietu pārvalde nodod datus, kas fiksēti datu sagatavošanas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Pilsonības un migrācijas lietu pārvalde katru mēnesi līdz piektajai darbdienai Birojam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76.punkta ievaddaļā iekavas un vārdus "(turpmāk - norādītā adrese)", ņemot vērā, ka turpmāk projekta tekstā netiek izmantots norādītais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07.05.2024.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07.05.2024.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